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B539D" w:rsidR="002B71D6" w:rsidP="006B539D" w:rsidRDefault="00CA67C3" w14:paraId="37BF8C39" w14:textId="77777777">
      <w:pPr>
        <w:pStyle w:val="BodyText"/>
        <w:spacing w:after="0"/>
        <w:jc w:val="center"/>
        <w:rPr>
          <w:b/>
        </w:rPr>
      </w:pPr>
      <w:r>
        <w:rPr>
          <w:b/>
        </w:rPr>
        <w:t xml:space="preserve"> </w:t>
      </w:r>
      <w:r w:rsidRPr="006B539D" w:rsidR="00216FDE">
        <w:rPr>
          <w:b/>
        </w:rPr>
        <w:t>CKRC</w:t>
      </w:r>
    </w:p>
    <w:p w:rsidRPr="006B539D" w:rsidR="00EF337D" w:rsidP="006B539D" w:rsidRDefault="00EF337D" w14:paraId="4A732B44" w14:textId="77777777">
      <w:pPr>
        <w:pStyle w:val="BodyText"/>
        <w:spacing w:after="0"/>
        <w:jc w:val="center"/>
        <w:rPr>
          <w:b/>
        </w:rPr>
      </w:pPr>
      <w:r w:rsidRPr="006B539D">
        <w:rPr>
          <w:b/>
        </w:rPr>
        <w:t xml:space="preserve">PS-11 </w:t>
      </w:r>
      <w:r w:rsidRPr="006B539D" w:rsidR="002B71D6">
        <w:rPr>
          <w:b/>
        </w:rPr>
        <w:t xml:space="preserve">LITIGATION </w:t>
      </w:r>
      <w:r w:rsidRPr="006B539D" w:rsidR="000A16A0">
        <w:rPr>
          <w:b/>
        </w:rPr>
        <w:t>DECISION OUTLINE</w:t>
      </w:r>
    </w:p>
    <w:p w:rsidR="00E70FE3" w:rsidP="006B539D" w:rsidRDefault="00A367D5" w14:paraId="3F4FB143" w14:textId="01CEE7B3">
      <w:pPr>
        <w:pStyle w:val="BodyText"/>
        <w:spacing w:after="0"/>
        <w:jc w:val="center"/>
      </w:pPr>
      <w:r w:rsidRPr="006B539D">
        <w:rPr>
          <w:b/>
        </w:rPr>
        <w:t>9</w:t>
      </w:r>
      <w:r w:rsidR="009139F5">
        <w:rPr>
          <w:b/>
        </w:rPr>
        <w:t>.</w:t>
      </w:r>
      <w:r w:rsidR="000E7ABB">
        <w:rPr>
          <w:b/>
        </w:rPr>
        <w:t>2</w:t>
      </w:r>
      <w:r w:rsidR="009139F5">
        <w:rPr>
          <w:b/>
        </w:rPr>
        <w:t>5</w:t>
      </w:r>
      <w:r w:rsidRPr="006B539D" w:rsidR="00216FDE">
        <w:rPr>
          <w:b/>
        </w:rPr>
        <w:t>.19</w:t>
      </w:r>
      <w:r w:rsidR="003672A5">
        <w:rPr>
          <w:b/>
        </w:rPr>
        <w:t xml:space="preserve"> </w:t>
      </w:r>
      <w:bookmarkStart w:name="_GoBack" w:id="0"/>
      <w:bookmarkEnd w:id="0"/>
    </w:p>
    <w:p w:rsidR="00E85D0B" w:rsidP="00714C51" w:rsidRDefault="00E85D0B" w14:paraId="6F501DD8" w14:textId="77777777">
      <w:pPr>
        <w:pStyle w:val="BodyText"/>
        <w:spacing w:after="0"/>
        <w:ind w:left="1440" w:hanging="1440"/>
        <w:jc w:val="left"/>
      </w:pPr>
    </w:p>
    <w:p w:rsidR="00844694" w:rsidP="00714C51" w:rsidRDefault="00844694" w14:paraId="6F95E4BF" w14:textId="77777777">
      <w:pPr>
        <w:pStyle w:val="BodyText"/>
        <w:spacing w:after="0"/>
        <w:ind w:left="2880" w:hanging="2880"/>
        <w:jc w:val="left"/>
      </w:pPr>
    </w:p>
    <w:p w:rsidR="00844694" w:rsidP="00844694" w:rsidRDefault="00844694" w14:paraId="64756833" w14:textId="77777777">
      <w:pPr>
        <w:pStyle w:val="BodyText"/>
        <w:spacing w:after="0"/>
        <w:ind w:left="2880" w:hanging="2880"/>
        <w:rPr>
          <w:b/>
        </w:rPr>
      </w:pPr>
      <w:r w:rsidRPr="00844694">
        <w:rPr>
          <w:b/>
        </w:rPr>
        <w:t>I.  QUESTION PRESENTED</w:t>
      </w:r>
    </w:p>
    <w:p w:rsidR="00E32FC9" w:rsidP="00496E72" w:rsidRDefault="00496E72" w14:paraId="072B4D43" w14:textId="59471043">
      <w:pPr>
        <w:pStyle w:val="BodyText"/>
        <w:spacing w:after="0"/>
      </w:pPr>
      <w:r>
        <w:t xml:space="preserve">Since 2004, </w:t>
      </w:r>
      <w:r w:rsidRPr="00496E72">
        <w:t>CKRC</w:t>
      </w:r>
      <w:r w:rsidR="00E32FC9">
        <w:t xml:space="preserve">, </w:t>
      </w:r>
      <w:r w:rsidRPr="00496E72">
        <w:t>PCA</w:t>
      </w:r>
      <w:r w:rsidR="00A64543">
        <w:t xml:space="preserve"> </w:t>
      </w:r>
      <w:r w:rsidRPr="00496E72">
        <w:t>and UARG (</w:t>
      </w:r>
      <w:r>
        <w:t xml:space="preserve">utility </w:t>
      </w:r>
      <w:r w:rsidRPr="00496E72">
        <w:t>trade association</w:t>
      </w:r>
      <w:r>
        <w:t>), have</w:t>
      </w:r>
      <w:r w:rsidRPr="00496E72">
        <w:t xml:space="preserve"> been Petitioner</w:t>
      </w:r>
      <w:r>
        <w:t>s</w:t>
      </w:r>
      <w:r w:rsidRPr="00496E72">
        <w:t xml:space="preserve"> in the case </w:t>
      </w:r>
      <w:r w:rsidR="006B539D">
        <w:t>challenging EPA’s final r</w:t>
      </w:r>
      <w:r w:rsidRPr="00496E72">
        <w:t>ule setting Performance Specification 11 and Quality Assurance Procedure 2 for PM CEMS</w:t>
      </w:r>
      <w:r w:rsidR="00E32FC9">
        <w:t xml:space="preserve"> (“PS-11 Rule”)</w:t>
      </w:r>
      <w:r w:rsidRPr="00496E72">
        <w:t>.</w:t>
      </w:r>
      <w:r w:rsidR="00EE2D1F">
        <w:rPr>
          <w:rStyle w:val="FootnoteReference"/>
        </w:rPr>
        <w:footnoteReference w:id="1"/>
      </w:r>
      <w:r>
        <w:t xml:space="preserve"> </w:t>
      </w:r>
      <w:r w:rsidR="00E32FC9">
        <w:t xml:space="preserve">The case has been in abeyance since 2004. </w:t>
      </w:r>
      <w:r w:rsidR="0098250F">
        <w:t xml:space="preserve">In June 2019, </w:t>
      </w:r>
      <w:r w:rsidR="00E32FC9">
        <w:t xml:space="preserve">UARG </w:t>
      </w:r>
      <w:r w:rsidR="006B539D">
        <w:t>voluntarily dismissed its case</w:t>
      </w:r>
      <w:r w:rsidR="00F42F53">
        <w:t xml:space="preserve">, making CKRC the </w:t>
      </w:r>
      <w:r w:rsidR="006F334C">
        <w:t xml:space="preserve">new </w:t>
      </w:r>
      <w:r w:rsidR="00F42F53">
        <w:t>Lead Petitioner</w:t>
      </w:r>
      <w:r w:rsidR="00E32FC9">
        <w:t>. PCA also plan</w:t>
      </w:r>
      <w:r w:rsidR="0098250F">
        <w:t xml:space="preserve">s to </w:t>
      </w:r>
      <w:r w:rsidR="006B539D">
        <w:t>dismiss its case</w:t>
      </w:r>
      <w:r w:rsidR="0098250F">
        <w:t>.</w:t>
      </w:r>
      <w:r w:rsidR="00E32FC9">
        <w:t xml:space="preserve"> </w:t>
      </w:r>
    </w:p>
    <w:p w:rsidR="00E32FC9" w:rsidP="00496E72" w:rsidRDefault="00E32FC9" w14:paraId="233FC9ED" w14:textId="77777777">
      <w:pPr>
        <w:pStyle w:val="BodyText"/>
        <w:spacing w:after="0"/>
      </w:pPr>
    </w:p>
    <w:p w:rsidRPr="00496E72" w:rsidR="00496E72" w:rsidP="00496E72" w:rsidRDefault="00496E72" w14:paraId="6132409E" w14:textId="77777777">
      <w:pPr>
        <w:pStyle w:val="BodyText"/>
        <w:spacing w:after="0"/>
      </w:pPr>
      <w:r w:rsidRPr="00496E72">
        <w:t xml:space="preserve">In light of </w:t>
      </w:r>
      <w:r w:rsidR="006B539D">
        <w:t xml:space="preserve">withdrawals by </w:t>
      </w:r>
      <w:r w:rsidR="00E32FC9">
        <w:t xml:space="preserve">UARG </w:t>
      </w:r>
      <w:r w:rsidR="006B539D">
        <w:t>and PCA</w:t>
      </w:r>
      <w:r w:rsidR="00E32FC9">
        <w:t xml:space="preserve">, </w:t>
      </w:r>
      <w:r w:rsidRPr="00496E72">
        <w:t xml:space="preserve">should CKRC also </w:t>
      </w:r>
      <w:r w:rsidR="006B539D">
        <w:t xml:space="preserve">dismiss its case, or remain as the sole Petitioner challenging the PS-11 rule? </w:t>
      </w:r>
    </w:p>
    <w:p w:rsidR="00496E72" w:rsidP="00844694" w:rsidRDefault="00496E72" w14:paraId="5FE5DE17" w14:textId="77777777">
      <w:pPr>
        <w:pStyle w:val="BodyText"/>
        <w:spacing w:after="0"/>
        <w:rPr>
          <w:b/>
        </w:rPr>
      </w:pPr>
    </w:p>
    <w:p w:rsidR="00496E72" w:rsidP="00844694" w:rsidRDefault="00496E72" w14:paraId="1085F964" w14:textId="77777777">
      <w:pPr>
        <w:pStyle w:val="BodyText"/>
        <w:spacing w:after="0"/>
        <w:rPr>
          <w:b/>
        </w:rPr>
      </w:pPr>
    </w:p>
    <w:p w:rsidRPr="00844694" w:rsidR="00155741" w:rsidP="00844694" w:rsidRDefault="00CA67C3" w14:paraId="7EBD2D6B" w14:textId="77777777">
      <w:pPr>
        <w:pStyle w:val="BodyText"/>
        <w:spacing w:after="0"/>
        <w:rPr>
          <w:b/>
        </w:rPr>
      </w:pPr>
      <w:r>
        <w:rPr>
          <w:b/>
        </w:rPr>
        <w:t xml:space="preserve">II. </w:t>
      </w:r>
      <w:r w:rsidR="00844694">
        <w:rPr>
          <w:b/>
        </w:rPr>
        <w:t>BACKGROUND</w:t>
      </w:r>
    </w:p>
    <w:p w:rsidR="00A367D5" w:rsidP="00714C51" w:rsidRDefault="00A367D5" w14:paraId="3A8455A3" w14:textId="77777777">
      <w:pPr>
        <w:pStyle w:val="BodyText"/>
        <w:spacing w:after="0"/>
        <w:jc w:val="left"/>
      </w:pPr>
      <w:r>
        <w:t xml:space="preserve">CKRC has consistently opposed the required use of PM CEMS at HWCs, on the basis that EPA has not demonstrated the feasibility of that technology </w:t>
      </w:r>
      <w:r w:rsidR="00C610BA">
        <w:t>for compliance monitoring at H</w:t>
      </w:r>
      <w:r>
        <w:t xml:space="preserve">WCs. </w:t>
      </w:r>
    </w:p>
    <w:p w:rsidR="00A367D5" w:rsidP="00714C51" w:rsidRDefault="00A367D5" w14:paraId="01D61A1F" w14:textId="77777777">
      <w:pPr>
        <w:pStyle w:val="BodyText"/>
        <w:spacing w:after="0"/>
        <w:jc w:val="left"/>
      </w:pPr>
    </w:p>
    <w:p w:rsidR="009D3642" w:rsidP="00714C51" w:rsidRDefault="00A367D5" w14:paraId="0DB4CAD1" w14:textId="77777777">
      <w:pPr>
        <w:pStyle w:val="BodyText"/>
        <w:spacing w:after="0"/>
        <w:jc w:val="left"/>
      </w:pPr>
      <w:r>
        <w:t xml:space="preserve">During the development of the HWC MACT, </w:t>
      </w:r>
      <w:r w:rsidR="00155741">
        <w:t xml:space="preserve">EPA </w:t>
      </w:r>
      <w:r>
        <w:t>disagreed with CKRC that PM CEMS were not suitable</w:t>
      </w:r>
      <w:r w:rsidR="009D3642">
        <w:t xml:space="preserve"> technology for HWCs</w:t>
      </w:r>
      <w:r>
        <w:t xml:space="preserve">. Nonetheless, EPA concluded that </w:t>
      </w:r>
      <w:r w:rsidR="00C610BA">
        <w:t xml:space="preserve">before it could require PM CEMS, </w:t>
      </w:r>
      <w:r>
        <w:t xml:space="preserve">it needed to develop performance specifications to address technical implementation issues specific to HWCs. Consequently, </w:t>
      </w:r>
      <w:r w:rsidR="009D3642">
        <w:t>the HWC MACT, at 40 CFR §63.1209(a)(1)(iii)</w:t>
      </w:r>
      <w:r>
        <w:t xml:space="preserve">, </w:t>
      </w:r>
      <w:r w:rsidR="009D3642">
        <w:t>requires PM CEMS but the requirement is not operative until EPA “promulgates all performance specifications and operational requirements applicable to PM CEMS.”</w:t>
      </w:r>
      <w:r w:rsidR="002B71D6">
        <w:rPr>
          <w:rStyle w:val="FootnoteReference"/>
        </w:rPr>
        <w:footnoteReference w:id="2"/>
      </w:r>
    </w:p>
    <w:p w:rsidR="009D3642" w:rsidP="00714C51" w:rsidRDefault="009D3642" w14:paraId="6BD56634" w14:textId="77777777">
      <w:pPr>
        <w:pStyle w:val="BodyText"/>
        <w:spacing w:after="0"/>
        <w:jc w:val="left"/>
      </w:pPr>
    </w:p>
    <w:p w:rsidR="002960F0" w:rsidP="00714C51" w:rsidRDefault="001B78B3" w14:paraId="74BEC529" w14:textId="77777777">
      <w:pPr>
        <w:pStyle w:val="BodyText"/>
        <w:spacing w:after="0"/>
        <w:jc w:val="left"/>
      </w:pPr>
      <w:r>
        <w:t xml:space="preserve">The same concern arose when EPA issued </w:t>
      </w:r>
      <w:r w:rsidR="00D3226B">
        <w:t xml:space="preserve">the </w:t>
      </w:r>
      <w:r w:rsidR="00C610BA">
        <w:t>PS-11 R</w:t>
      </w:r>
      <w:r>
        <w:t>ule</w:t>
      </w:r>
      <w:r w:rsidR="00C610BA">
        <w:t xml:space="preserve">. </w:t>
      </w:r>
      <w:r w:rsidR="008652CA">
        <w:t xml:space="preserve">CKRC </w:t>
      </w:r>
      <w:r w:rsidR="00D878A8">
        <w:t>opposed the application of PS-11</w:t>
      </w:r>
      <w:r w:rsidR="00C610BA">
        <w:t xml:space="preserve"> and Procedure 2</w:t>
      </w:r>
      <w:r w:rsidR="00D878A8">
        <w:t xml:space="preserve"> to HWCs on the basis that EPA had not demonstrated that HWCs </w:t>
      </w:r>
      <w:r w:rsidR="008652CA">
        <w:t xml:space="preserve">operating PM CEMS </w:t>
      </w:r>
      <w:r w:rsidR="00C610BA">
        <w:t xml:space="preserve">could </w:t>
      </w:r>
      <w:r w:rsidR="00D878A8">
        <w:t xml:space="preserve">meet </w:t>
      </w:r>
      <w:r w:rsidR="00C610BA">
        <w:t>those requirements</w:t>
      </w:r>
      <w:r w:rsidR="00D878A8">
        <w:t xml:space="preserve"> on a consistent basis.  Again, EPA disagreed </w:t>
      </w:r>
      <w:r>
        <w:t xml:space="preserve">and </w:t>
      </w:r>
      <w:r w:rsidR="00D878A8">
        <w:t>concluded that PM CEMS are suitable for compliance monitoring at HWCs. EPA also asserted that it had modified PS-11 and Procedure 2 to account for performance issues discovered during field testing at HWCs.</w:t>
      </w:r>
      <w:r w:rsidR="002B71D6">
        <w:rPr>
          <w:rStyle w:val="FootnoteReference"/>
        </w:rPr>
        <w:footnoteReference w:id="3"/>
      </w:r>
      <w:r w:rsidR="00D878A8">
        <w:t xml:space="preserve">  </w:t>
      </w:r>
    </w:p>
    <w:p w:rsidR="002960F0" w:rsidP="00714C51" w:rsidRDefault="002960F0" w14:paraId="559EA1DD" w14:textId="77777777">
      <w:pPr>
        <w:pStyle w:val="BodyText"/>
        <w:spacing w:after="0"/>
        <w:jc w:val="left"/>
      </w:pPr>
    </w:p>
    <w:p w:rsidR="003D78C7" w:rsidP="00714C51" w:rsidRDefault="00813AC2" w14:paraId="41B491BF" w14:textId="308B28A9">
      <w:pPr>
        <w:pStyle w:val="BodyText"/>
        <w:spacing w:after="0"/>
        <w:jc w:val="left"/>
      </w:pPr>
      <w:r>
        <w:t xml:space="preserve">CKRC was concerned </w:t>
      </w:r>
      <w:r w:rsidR="00FE1AEF">
        <w:t xml:space="preserve">that </w:t>
      </w:r>
      <w:r>
        <w:t xml:space="preserve">the </w:t>
      </w:r>
      <w:r w:rsidR="00FE1AEF">
        <w:t>PS-</w:t>
      </w:r>
      <w:r w:rsidR="008A7140">
        <w:t>11 Rule</w:t>
      </w:r>
      <w:r w:rsidR="00FE1AEF">
        <w:t xml:space="preserve"> </w:t>
      </w:r>
      <w:r>
        <w:t>c</w:t>
      </w:r>
      <w:r w:rsidR="00FE1AEF">
        <w:t xml:space="preserve">ould be construed as supplying the performance specifications and operational requirements that would trigger the </w:t>
      </w:r>
      <w:r w:rsidR="00AA3404">
        <w:t xml:space="preserve">PM CEMS </w:t>
      </w:r>
      <w:r w:rsidR="00FE1AEF">
        <w:t xml:space="preserve">requirement </w:t>
      </w:r>
      <w:r>
        <w:t xml:space="preserve">in </w:t>
      </w:r>
      <w:r w:rsidR="00AA3404">
        <w:t xml:space="preserve">the </w:t>
      </w:r>
      <w:r>
        <w:t>HWC MACT</w:t>
      </w:r>
      <w:r w:rsidR="00AA3404">
        <w:t>.</w:t>
      </w:r>
      <w:r w:rsidR="00FE1AEF">
        <w:t xml:space="preserve"> </w:t>
      </w:r>
      <w:r w:rsidR="008C3B8B">
        <w:t>The PS-11 Rule preamble clearly (and helpfully) states that PS-11 does not define the applicability of PM CEMS, and that industry-specific criteria need to be included in the rule applicable to a specific source category.</w:t>
      </w:r>
      <w:r w:rsidR="002B71D6">
        <w:rPr>
          <w:rStyle w:val="FootnoteReference"/>
        </w:rPr>
        <w:footnoteReference w:id="4"/>
      </w:r>
      <w:r w:rsidR="008C3B8B">
        <w:t xml:space="preserve"> Notwithstanding that preamble statement, CKRC wanted some assurance from EPA that the PM CEMS requirement would not take effect until EPA had established HWC-specific performance criteria through notice and comment rulemaking. </w:t>
      </w:r>
      <w:r w:rsidR="003D78C7">
        <w:t xml:space="preserve">EPA Deputy Assistant Administrator of OSWER Barry Breen confirmed in a 2004 letter that </w:t>
      </w:r>
      <w:r w:rsidR="00562475">
        <w:t xml:space="preserve">such a rulemaking was necessary before PM CEMS could be required and </w:t>
      </w:r>
      <w:r w:rsidR="003D78C7">
        <w:t xml:space="preserve">that the PS-11 Rule did not constitute such a rulemaking. </w:t>
      </w:r>
    </w:p>
    <w:p w:rsidR="003D78C7" w:rsidP="00714C51" w:rsidRDefault="003D78C7" w14:paraId="47482CE5" w14:textId="77777777">
      <w:pPr>
        <w:pStyle w:val="BodyText"/>
        <w:spacing w:after="0"/>
        <w:jc w:val="left"/>
      </w:pPr>
    </w:p>
    <w:p w:rsidR="009315EE" w:rsidP="00714C51" w:rsidRDefault="003D78C7" w14:paraId="36EF253C" w14:textId="6E8DAAF5">
      <w:pPr>
        <w:pStyle w:val="BodyText"/>
        <w:spacing w:after="0"/>
        <w:jc w:val="left"/>
      </w:pPr>
      <w:r>
        <w:t>In addition to obtaining the Breen letter, CKRC also cha</w:t>
      </w:r>
      <w:r w:rsidR="00A64543">
        <w:t>llenged the PS-11 Rule in court.</w:t>
      </w:r>
      <w:r>
        <w:t xml:space="preserve"> </w:t>
      </w:r>
      <w:r w:rsidR="00C96230">
        <w:t>PCA</w:t>
      </w:r>
      <w:r>
        <w:t xml:space="preserve"> joined CKRC in its lawsuit</w:t>
      </w:r>
      <w:r w:rsidR="004E5290">
        <w:t xml:space="preserve"> and</w:t>
      </w:r>
      <w:r w:rsidR="009315EE">
        <w:t xml:space="preserve"> </w:t>
      </w:r>
      <w:r w:rsidR="00C96230">
        <w:t xml:space="preserve">UARG </w:t>
      </w:r>
      <w:r w:rsidR="009315EE">
        <w:t>also</w:t>
      </w:r>
      <w:r w:rsidR="00C96230">
        <w:t xml:space="preserve"> sued to overturn the PS-11 R</w:t>
      </w:r>
      <w:r>
        <w:t>ule</w:t>
      </w:r>
      <w:r w:rsidR="00C96230">
        <w:t>.</w:t>
      </w:r>
      <w:r>
        <w:t xml:space="preserve"> </w:t>
      </w:r>
      <w:r w:rsidR="00C96230">
        <w:t>Industry Petitioners and EPA</w:t>
      </w:r>
      <w:r>
        <w:t xml:space="preserve"> agreed to try to </w:t>
      </w:r>
      <w:r>
        <w:lastRenderedPageBreak/>
        <w:t>resolv</w:t>
      </w:r>
      <w:r w:rsidR="001B3222">
        <w:t>e the regulatory impasse out</w:t>
      </w:r>
      <w:r>
        <w:t xml:space="preserve"> of court and the case was put </w:t>
      </w:r>
      <w:r w:rsidR="001B3222">
        <w:t>in abeyance</w:t>
      </w:r>
      <w:r>
        <w:t xml:space="preserve">. </w:t>
      </w:r>
      <w:r w:rsidR="009315EE">
        <w:t xml:space="preserve">EPA </w:t>
      </w:r>
      <w:r w:rsidR="001B3222">
        <w:t xml:space="preserve">granted administrative </w:t>
      </w:r>
      <w:r w:rsidR="009315EE">
        <w:t>reconsider</w:t>
      </w:r>
      <w:r w:rsidR="001B3222">
        <w:t>ation of</w:t>
      </w:r>
      <w:r w:rsidR="009315EE">
        <w:t xml:space="preserve"> some issues and issued a revised final </w:t>
      </w:r>
      <w:r w:rsidR="001B3222">
        <w:t>PS-11 R</w:t>
      </w:r>
      <w:r w:rsidR="00C520E9">
        <w:t>ule. That R</w:t>
      </w:r>
      <w:r w:rsidR="009315EE">
        <w:t xml:space="preserve">ule did not resolve the issues </w:t>
      </w:r>
      <w:r w:rsidR="001B3222">
        <w:t xml:space="preserve">raised by CKRC, PCA and UARG. </w:t>
      </w:r>
      <w:r w:rsidR="009315EE">
        <w:t>Parties had a continuing commitment to resolvi</w:t>
      </w:r>
      <w:r w:rsidR="00C520E9">
        <w:t>ng these issues</w:t>
      </w:r>
      <w:r w:rsidR="009315EE">
        <w:t xml:space="preserve">, however, and </w:t>
      </w:r>
      <w:r w:rsidR="001B3222">
        <w:t xml:space="preserve">restated that position in regular </w:t>
      </w:r>
      <w:r w:rsidR="009315EE">
        <w:t>status report</w:t>
      </w:r>
      <w:r w:rsidR="001B3222">
        <w:t>s filed with the Court for 15 years.</w:t>
      </w:r>
      <w:r w:rsidR="00714C96">
        <w:t xml:space="preserve"> </w:t>
      </w:r>
    </w:p>
    <w:p w:rsidR="009315EE" w:rsidP="00714C51" w:rsidRDefault="009315EE" w14:paraId="0F7432AF" w14:textId="77777777">
      <w:pPr>
        <w:pStyle w:val="BodyText"/>
        <w:spacing w:after="0"/>
        <w:jc w:val="left"/>
      </w:pPr>
    </w:p>
    <w:p w:rsidR="00ED1836" w:rsidP="00714C51" w:rsidRDefault="00682A71" w14:paraId="77C92CC7" w14:textId="7D930E5B">
      <w:pPr>
        <w:pStyle w:val="BodyText"/>
        <w:spacing w:after="0"/>
        <w:jc w:val="left"/>
      </w:pPr>
      <w:r>
        <w:t xml:space="preserve">Fast forward to </w:t>
      </w:r>
      <w:r w:rsidR="009315EE">
        <w:t xml:space="preserve">2019, </w:t>
      </w:r>
      <w:r>
        <w:t xml:space="preserve">UARG has withdrawn from the case. PCA </w:t>
      </w:r>
      <w:r w:rsidR="009315EE">
        <w:t>also pl</w:t>
      </w:r>
      <w:r w:rsidR="00CA67C3">
        <w:t xml:space="preserve">ans to withdraw. CKRC must now </w:t>
      </w:r>
      <w:r w:rsidR="009315EE">
        <w:t>decide whether to remain in the case as the sole Petitioner challenging the PS-11 rule, withdraw from the case</w:t>
      </w:r>
      <w:r>
        <w:t xml:space="preserve"> or take some other action</w:t>
      </w:r>
      <w:r w:rsidR="00D019A0">
        <w:t xml:space="preserve"> (e.g. engage in a dialogue and reach a mutually agreeable settlement)</w:t>
      </w:r>
      <w:r w:rsidR="009315EE">
        <w:t xml:space="preserve">. </w:t>
      </w:r>
      <w:r w:rsidR="00714C96">
        <w:t xml:space="preserve">It is unclear what, if any, progress has been made on the issues raised by CKRC. </w:t>
      </w:r>
    </w:p>
    <w:p w:rsidR="00682A71" w:rsidP="001835DC" w:rsidRDefault="00682A71" w14:paraId="7BC7B9E3" w14:textId="77777777">
      <w:pPr>
        <w:pStyle w:val="BodyText"/>
        <w:spacing w:after="0"/>
        <w:jc w:val="left"/>
      </w:pPr>
    </w:p>
    <w:p w:rsidR="001835DC" w:rsidP="001835DC" w:rsidRDefault="001835DC" w14:paraId="38333360" w14:textId="01B99B78">
      <w:pPr>
        <w:pStyle w:val="BodyText"/>
        <w:spacing w:after="0"/>
        <w:jc w:val="left"/>
      </w:pPr>
      <w:r>
        <w:t xml:space="preserve">This memo outlines </w:t>
      </w:r>
      <w:r w:rsidR="000951AC">
        <w:t xml:space="preserve">options and </w:t>
      </w:r>
      <w:r w:rsidR="00D933ED">
        <w:t xml:space="preserve">implications and </w:t>
      </w:r>
      <w:r>
        <w:t xml:space="preserve">considerations for </w:t>
      </w:r>
      <w:r w:rsidR="002738D5">
        <w:t>those options</w:t>
      </w:r>
      <w:r>
        <w:t xml:space="preserve">. </w:t>
      </w:r>
    </w:p>
    <w:p w:rsidR="001835DC" w:rsidP="00714C51" w:rsidRDefault="001835DC" w14:paraId="1F46B1BC" w14:textId="77777777">
      <w:pPr>
        <w:pStyle w:val="BodyText"/>
        <w:spacing w:after="0"/>
        <w:jc w:val="left"/>
      </w:pPr>
    </w:p>
    <w:p w:rsidR="00155741" w:rsidP="00714C51" w:rsidRDefault="00155741" w14:paraId="761D3430" w14:textId="77777777">
      <w:pPr>
        <w:pStyle w:val="BodyText"/>
        <w:spacing w:after="0"/>
        <w:jc w:val="left"/>
      </w:pPr>
    </w:p>
    <w:p w:rsidRPr="00844694" w:rsidR="000A16A0" w:rsidP="00714C51" w:rsidRDefault="00CA67C3" w14:paraId="59680CCC" w14:textId="42F9B901">
      <w:pPr>
        <w:pStyle w:val="BodyText"/>
        <w:spacing w:after="0"/>
        <w:jc w:val="left"/>
        <w:rPr>
          <w:b/>
        </w:rPr>
      </w:pPr>
      <w:r>
        <w:rPr>
          <w:b/>
        </w:rPr>
        <w:t xml:space="preserve">III. </w:t>
      </w:r>
      <w:r w:rsidR="00D8747B">
        <w:rPr>
          <w:b/>
        </w:rPr>
        <w:t xml:space="preserve">LITIGATION </w:t>
      </w:r>
      <w:r w:rsidR="00D10033">
        <w:rPr>
          <w:b/>
        </w:rPr>
        <w:t>OPTIONS</w:t>
      </w:r>
      <w:r w:rsidR="00D8747B">
        <w:rPr>
          <w:b/>
        </w:rPr>
        <w:t xml:space="preserve"> AND IMPLICATIONS</w:t>
      </w:r>
    </w:p>
    <w:p w:rsidR="000A16A0" w:rsidP="00714C51" w:rsidRDefault="000A16A0" w14:paraId="07BFD597" w14:textId="77777777">
      <w:pPr>
        <w:pStyle w:val="BodyText"/>
        <w:spacing w:after="0"/>
        <w:jc w:val="left"/>
      </w:pPr>
    </w:p>
    <w:p w:rsidRPr="00D933ED" w:rsidR="00D10033" w:rsidP="000E7ABB" w:rsidRDefault="00844694" w14:paraId="26E181CF" w14:textId="60E3867D">
      <w:pPr>
        <w:pStyle w:val="BodyText"/>
        <w:spacing w:after="0"/>
        <w:jc w:val="left"/>
      </w:pPr>
      <w:r w:rsidRPr="00D933ED">
        <w:rPr>
          <w:b/>
        </w:rPr>
        <w:t>A</w:t>
      </w:r>
      <w:r w:rsidRPr="00D933ED">
        <w:t xml:space="preserve">.  </w:t>
      </w:r>
      <w:r w:rsidRPr="00D933ED" w:rsidR="00D8747B">
        <w:rPr>
          <w:b/>
        </w:rPr>
        <w:t>WITHDRAW THE DC CIRCUIT PETITION JOINTLY WITH PCA</w:t>
      </w:r>
      <w:r w:rsidRPr="00D933ED" w:rsidR="00D10033">
        <w:rPr>
          <w:b/>
        </w:rPr>
        <w:t>.</w:t>
      </w:r>
    </w:p>
    <w:p w:rsidR="00D10033" w:rsidP="00215EBB" w:rsidRDefault="00D10033" w14:paraId="343D9B5F" w14:textId="77777777">
      <w:pPr>
        <w:pStyle w:val="BodyText"/>
        <w:spacing w:after="0"/>
        <w:ind w:firstLine="360"/>
        <w:jc w:val="left"/>
      </w:pPr>
      <w:r>
        <w:t>CKRC and PCA jointly filed a Petition and could withdraw jointly.</w:t>
      </w:r>
    </w:p>
    <w:p w:rsidR="00D10033" w:rsidP="00F41A8B" w:rsidRDefault="00D10033" w14:paraId="3A7E55B1" w14:textId="77777777">
      <w:pPr>
        <w:pStyle w:val="BodyText"/>
        <w:numPr>
          <w:ilvl w:val="0"/>
          <w:numId w:val="24"/>
        </w:numPr>
        <w:spacing w:after="0"/>
        <w:jc w:val="left"/>
      </w:pPr>
      <w:r>
        <w:t>Legal effect</w:t>
      </w:r>
    </w:p>
    <w:p w:rsidR="00D10033" w:rsidP="00D933ED" w:rsidRDefault="00D10033" w14:paraId="1BAA3A66" w14:textId="77777777">
      <w:pPr>
        <w:pStyle w:val="BodyText"/>
        <w:numPr>
          <w:ilvl w:val="1"/>
          <w:numId w:val="19"/>
        </w:numPr>
        <w:spacing w:after="0"/>
        <w:jc w:val="left"/>
      </w:pPr>
      <w:r>
        <w:t xml:space="preserve">CKRC would give up any right to challenge this PS-11 Rule. </w:t>
      </w:r>
    </w:p>
    <w:p w:rsidR="0011232D" w:rsidP="00D933ED" w:rsidRDefault="00D10033" w14:paraId="732A73FD" w14:textId="10D95C60">
      <w:pPr>
        <w:pStyle w:val="BodyText"/>
        <w:numPr>
          <w:ilvl w:val="1"/>
          <w:numId w:val="19"/>
        </w:numPr>
        <w:spacing w:after="0"/>
        <w:jc w:val="left"/>
      </w:pPr>
      <w:r>
        <w:t>If EPA were to issue another PS-11 rule with different features and content, CKRC could challenge that rule.</w:t>
      </w:r>
    </w:p>
    <w:p w:rsidR="00D10033" w:rsidP="00F41A8B" w:rsidRDefault="00D10033" w14:paraId="49B40BFB" w14:textId="10D95C60">
      <w:pPr>
        <w:pStyle w:val="BodyText"/>
        <w:numPr>
          <w:ilvl w:val="0"/>
          <w:numId w:val="24"/>
        </w:numPr>
        <w:spacing w:after="0"/>
        <w:jc w:val="left"/>
      </w:pPr>
      <w:r>
        <w:t xml:space="preserve">Additional considerations </w:t>
      </w:r>
    </w:p>
    <w:p w:rsidR="00D10033" w:rsidP="00D933ED" w:rsidRDefault="00D10033" w14:paraId="1B3C6F22" w14:textId="77777777">
      <w:pPr>
        <w:pStyle w:val="BodyText"/>
        <w:numPr>
          <w:ilvl w:val="1"/>
          <w:numId w:val="19"/>
        </w:numPr>
        <w:spacing w:after="0"/>
        <w:jc w:val="left"/>
      </w:pPr>
      <w:r>
        <w:t xml:space="preserve">CKRC is expecting EPA to adhere to its position that PM CEMS cannot be required for HWCs until EPA does notice and comment rulemaking. That position is stated with greater or lesser clarity in three places: codified regulatory text, the preamble to a final rule and in an authoritative letter from EPA to CKRC. Were EPA to disregard those authorities and put the PM CEMS requirement into effect without a prior rulemaking, CKRC would be able to challenge the procedure and substance of that agency action. CKRC would claim that EPA altered its legal rights and obligations with no notice and comment. </w:t>
      </w:r>
    </w:p>
    <w:p w:rsidR="0011232D" w:rsidP="0011232D" w:rsidRDefault="0011232D" w14:paraId="2AE71A02" w14:textId="77777777">
      <w:pPr>
        <w:pStyle w:val="BodyText"/>
        <w:spacing w:after="0"/>
        <w:ind w:left="1800"/>
        <w:jc w:val="left"/>
      </w:pPr>
    </w:p>
    <w:p w:rsidR="00C61D34" w:rsidP="00D933ED" w:rsidRDefault="00D10033" w14:paraId="61651FE8" w14:textId="57453084">
      <w:pPr>
        <w:pStyle w:val="BodyText"/>
        <w:numPr>
          <w:ilvl w:val="1"/>
          <w:numId w:val="19"/>
        </w:numPr>
        <w:spacing w:after="0"/>
        <w:jc w:val="left"/>
      </w:pPr>
      <w:r>
        <w:t>There is a slight chance that CKRC could invoke a rarely used legal doctrine to challenge aspects of the PS-11 Rule if in the future EPA applies it to HWCs illegally. A grounds-arising-after claim recognizes that claims may arise beyond the 60-day deadline to challenge a final rule, where changed circumstances are unanticipated or beyond the control of the claimant. The doctrine offers parties a narrow opportunity for relief, under specialized circumstances. In making a decision on whether to withdraw its current challenge, CKRC should not count on being able to bring a grounds-arising-after claim later on. But it is not harmful at least to be aware of a remote possibility of this type of relief.</w:t>
      </w:r>
    </w:p>
    <w:p w:rsidR="009B6EC3" w:rsidP="00714C51" w:rsidRDefault="009B6EC3" w14:paraId="7788FCCE" w14:textId="77777777">
      <w:pPr>
        <w:pStyle w:val="BodyText"/>
        <w:spacing w:after="0"/>
        <w:jc w:val="left"/>
      </w:pPr>
    </w:p>
    <w:p w:rsidR="009B6EC3" w:rsidP="009B6EC3" w:rsidRDefault="009B6EC3" w14:paraId="5768795F" w14:textId="77777777">
      <w:pPr>
        <w:pStyle w:val="BodyText"/>
        <w:spacing w:after="0"/>
        <w:jc w:val="left"/>
      </w:pPr>
    </w:p>
    <w:p w:rsidR="0011232D" w:rsidP="009B6EC3" w:rsidRDefault="009B6EC3" w14:paraId="0B042F31" w14:textId="06C2CEB5">
      <w:pPr>
        <w:pStyle w:val="BodyText"/>
        <w:spacing w:after="0"/>
        <w:jc w:val="left"/>
        <w:rPr>
          <w:b/>
        </w:rPr>
      </w:pPr>
      <w:r>
        <w:rPr>
          <w:b/>
        </w:rPr>
        <w:t>B</w:t>
      </w:r>
      <w:r w:rsidRPr="00A439B9">
        <w:rPr>
          <w:b/>
        </w:rPr>
        <w:t xml:space="preserve">.  </w:t>
      </w:r>
      <w:r>
        <w:rPr>
          <w:b/>
        </w:rPr>
        <w:t>REMAIN IN THE CASE</w:t>
      </w:r>
    </w:p>
    <w:p w:rsidR="00D74F73" w:rsidP="00215EBB" w:rsidRDefault="00D74F73" w14:paraId="129A713D" w14:textId="5405F22F">
      <w:pPr>
        <w:pStyle w:val="BodyText"/>
        <w:spacing w:after="0"/>
        <w:ind w:firstLine="360"/>
        <w:jc w:val="left"/>
      </w:pPr>
      <w:r>
        <w:t>Do nothing, remain in case.</w:t>
      </w:r>
      <w:r>
        <w:t xml:space="preserve"> </w:t>
      </w:r>
      <w:r>
        <w:t>PCA would file a separate motion to withdraw.</w:t>
      </w:r>
    </w:p>
    <w:p w:rsidR="00D74F73" w:rsidP="000951AC" w:rsidRDefault="00C21872" w14:paraId="49F6E9A8" w14:textId="38CC206C">
      <w:pPr>
        <w:pStyle w:val="BodyText"/>
        <w:numPr>
          <w:ilvl w:val="0"/>
          <w:numId w:val="25"/>
        </w:numPr>
        <w:spacing w:after="0"/>
        <w:jc w:val="left"/>
      </w:pPr>
      <w:r>
        <w:t>Legal effect</w:t>
      </w:r>
      <w:r w:rsidR="00D74F73">
        <w:t xml:space="preserve"> </w:t>
      </w:r>
    </w:p>
    <w:p w:rsidR="00D74F73" w:rsidP="0011232D" w:rsidRDefault="00D74F73" w14:paraId="206EAA39" w14:textId="77777777">
      <w:pPr>
        <w:pStyle w:val="BodyText"/>
        <w:numPr>
          <w:ilvl w:val="1"/>
          <w:numId w:val="19"/>
        </w:numPr>
        <w:spacing w:after="0"/>
        <w:jc w:val="left"/>
      </w:pPr>
      <w:r>
        <w:t>CKRC would become solely responsible for executing any action in the litigation and would need to engage with DOJ/EPA.</w:t>
      </w:r>
    </w:p>
    <w:p w:rsidR="0011232D" w:rsidP="0011232D" w:rsidRDefault="0011232D" w14:paraId="75AAFB17" w14:textId="77777777">
      <w:pPr>
        <w:pStyle w:val="BodyText"/>
        <w:spacing w:after="0"/>
        <w:jc w:val="left"/>
      </w:pPr>
    </w:p>
    <w:p w:rsidR="0011232D" w:rsidP="0011232D" w:rsidRDefault="0011232D" w14:paraId="3B6F9FFC" w14:textId="77777777">
      <w:pPr>
        <w:pStyle w:val="BodyText"/>
        <w:spacing w:after="0"/>
        <w:jc w:val="left"/>
      </w:pPr>
    </w:p>
    <w:p w:rsidR="00D74F73" w:rsidP="0011232D" w:rsidRDefault="00D74F73" w14:paraId="50851E87" w14:textId="52C6037B">
      <w:pPr>
        <w:pStyle w:val="BodyText"/>
        <w:numPr>
          <w:ilvl w:val="1"/>
          <w:numId w:val="19"/>
        </w:numPr>
        <w:spacing w:after="0"/>
        <w:jc w:val="left"/>
      </w:pPr>
      <w:r>
        <w:lastRenderedPageBreak/>
        <w:t xml:space="preserve">CKRC could </w:t>
      </w:r>
      <w:r>
        <w:t xml:space="preserve">try to continue the abeyance. </w:t>
      </w:r>
      <w:r w:rsidR="00BE2B61">
        <w:t xml:space="preserve">DOJ/EPA may not agree to </w:t>
      </w:r>
      <w:r w:rsidR="008A7140">
        <w:t>continue</w:t>
      </w:r>
      <w:r w:rsidR="00BE2B61">
        <w:t xml:space="preserve"> the abeyance and CKRC would need to engage with DOJ/EPA on substance.</w:t>
      </w:r>
    </w:p>
    <w:p w:rsidR="00D74F73" w:rsidP="00D74F73" w:rsidRDefault="00D74F73" w14:paraId="46D8BC3E" w14:textId="2FA65BB0">
      <w:pPr>
        <w:pStyle w:val="BodyText"/>
        <w:spacing w:after="0"/>
        <w:jc w:val="left"/>
        <w:rPr>
          <w:b/>
        </w:rPr>
      </w:pPr>
    </w:p>
    <w:p w:rsidR="0011232D" w:rsidP="00F221AF" w:rsidRDefault="0011232D" w14:paraId="3A933462" w14:textId="0029B6CF">
      <w:pPr>
        <w:pStyle w:val="BodyText"/>
        <w:numPr>
          <w:ilvl w:val="0"/>
          <w:numId w:val="25"/>
        </w:numPr>
        <w:spacing w:after="0"/>
        <w:jc w:val="left"/>
      </w:pPr>
      <w:r>
        <w:t>Additional considerations</w:t>
      </w:r>
      <w:r w:rsidR="00E20C4E">
        <w:t xml:space="preserve"> </w:t>
      </w:r>
    </w:p>
    <w:p w:rsidR="00844694" w:rsidP="0011232D" w:rsidRDefault="002964F9" w14:paraId="5AAC0040" w14:textId="3C4D5550">
      <w:pPr>
        <w:pStyle w:val="BodyText"/>
        <w:spacing w:after="0"/>
        <w:ind w:left="720"/>
        <w:jc w:val="left"/>
      </w:pPr>
      <w:r>
        <w:t xml:space="preserve">If </w:t>
      </w:r>
      <w:r w:rsidR="00896435">
        <w:t>CKRC decide</w:t>
      </w:r>
      <w:r>
        <w:t>s</w:t>
      </w:r>
      <w:r w:rsidR="00896435">
        <w:t xml:space="preserve"> to remain in the case, </w:t>
      </w:r>
      <w:r w:rsidR="006A70C8">
        <w:t xml:space="preserve">CKRC </w:t>
      </w:r>
      <w:r>
        <w:t xml:space="preserve">will </w:t>
      </w:r>
      <w:r w:rsidR="00844694">
        <w:t xml:space="preserve">need to </w:t>
      </w:r>
      <w:r w:rsidR="00107DEF">
        <w:t xml:space="preserve">commit resources and </w:t>
      </w:r>
      <w:r w:rsidR="00844694">
        <w:t xml:space="preserve">engage </w:t>
      </w:r>
      <w:r w:rsidR="00107DEF">
        <w:t>i</w:t>
      </w:r>
      <w:r w:rsidR="00844694">
        <w:t>n the process and substance of the case</w:t>
      </w:r>
      <w:r w:rsidR="002F5D32">
        <w:t xml:space="preserve">. </w:t>
      </w:r>
      <w:r w:rsidR="00107DEF">
        <w:t xml:space="preserve">Short and longer-term </w:t>
      </w:r>
      <w:r w:rsidR="002F5D32">
        <w:t>efforts</w:t>
      </w:r>
      <w:r w:rsidR="00107DEF">
        <w:t xml:space="preserve"> would include</w:t>
      </w:r>
      <w:r w:rsidR="002F5D32">
        <w:t xml:space="preserve">: </w:t>
      </w:r>
    </w:p>
    <w:p w:rsidR="0082280A" w:rsidP="0011232D" w:rsidRDefault="0082280A" w14:paraId="5D0FCA1C" w14:textId="77777777">
      <w:pPr>
        <w:pStyle w:val="BodyText"/>
        <w:spacing w:after="0"/>
        <w:ind w:left="720"/>
        <w:jc w:val="left"/>
      </w:pPr>
    </w:p>
    <w:p w:rsidR="000A16A0" w:rsidP="00BA0386" w:rsidRDefault="002F5D32" w14:paraId="13926E3F" w14:textId="77777777">
      <w:pPr>
        <w:pStyle w:val="BodyText"/>
        <w:numPr>
          <w:ilvl w:val="0"/>
          <w:numId w:val="16"/>
        </w:numPr>
        <w:spacing w:after="0"/>
        <w:jc w:val="left"/>
      </w:pPr>
      <w:r>
        <w:t>I</w:t>
      </w:r>
      <w:r w:rsidR="002964F9">
        <w:t xml:space="preserve">nteract with DOJ </w:t>
      </w:r>
      <w:r w:rsidR="00107DEF">
        <w:t xml:space="preserve">– at a minimum – </w:t>
      </w:r>
      <w:r w:rsidR="00C8270F">
        <w:t xml:space="preserve">to </w:t>
      </w:r>
      <w:r>
        <w:t xml:space="preserve">prepare, </w:t>
      </w:r>
      <w:r w:rsidR="00C8270F">
        <w:t xml:space="preserve">review </w:t>
      </w:r>
      <w:r>
        <w:t>and/or file 90-day status reports</w:t>
      </w:r>
      <w:r w:rsidR="00107DEF">
        <w:t xml:space="preserve"> to keep the case in abeyance</w:t>
      </w:r>
      <w:r>
        <w:t xml:space="preserve">, </w:t>
      </w:r>
      <w:r w:rsidR="00107DEF">
        <w:t xml:space="preserve">a function that had been borne </w:t>
      </w:r>
      <w:r>
        <w:t xml:space="preserve">by other parties. </w:t>
      </w:r>
    </w:p>
    <w:p w:rsidR="0011232D" w:rsidP="0011232D" w:rsidRDefault="0011232D" w14:paraId="376171A8" w14:textId="77777777">
      <w:pPr>
        <w:pStyle w:val="BodyText"/>
        <w:spacing w:after="0"/>
        <w:jc w:val="left"/>
      </w:pPr>
    </w:p>
    <w:p w:rsidR="002F5D32" w:rsidP="002F5D32" w:rsidRDefault="002F5D32" w14:paraId="739C15F0" w14:textId="77777777">
      <w:pPr>
        <w:pStyle w:val="BodyText"/>
        <w:numPr>
          <w:ilvl w:val="0"/>
          <w:numId w:val="16"/>
        </w:numPr>
        <w:spacing w:after="0"/>
        <w:jc w:val="left"/>
      </w:pPr>
      <w:r>
        <w:t>Interact</w:t>
      </w:r>
      <w:r w:rsidR="00107DEF">
        <w:t xml:space="preserve"> </w:t>
      </w:r>
      <w:r w:rsidR="000A16A0">
        <w:t xml:space="preserve">with </w:t>
      </w:r>
      <w:r w:rsidR="00896435">
        <w:t xml:space="preserve">DOJ/EPA on </w:t>
      </w:r>
      <w:r>
        <w:t xml:space="preserve">the </w:t>
      </w:r>
      <w:r w:rsidR="00896435">
        <w:t xml:space="preserve">substance of </w:t>
      </w:r>
      <w:r w:rsidR="00107DEF">
        <w:t xml:space="preserve">the </w:t>
      </w:r>
      <w:r w:rsidR="00896435">
        <w:t>PS-11</w:t>
      </w:r>
      <w:r w:rsidR="000D3216">
        <w:t xml:space="preserve"> </w:t>
      </w:r>
      <w:r w:rsidR="00107DEF">
        <w:t>Rule</w:t>
      </w:r>
      <w:r w:rsidR="00883B2C">
        <w:t xml:space="preserve"> and any procedural items that may arise</w:t>
      </w:r>
      <w:r>
        <w:t>.</w:t>
      </w:r>
    </w:p>
    <w:p w:rsidR="00883B2C" w:rsidP="00D14955" w:rsidRDefault="002F5D32" w14:paraId="46029B16" w14:textId="431B1DD4">
      <w:pPr>
        <w:pStyle w:val="BodyText"/>
        <w:numPr>
          <w:ilvl w:val="1"/>
          <w:numId w:val="16"/>
        </w:numPr>
        <w:spacing w:after="0"/>
        <w:jc w:val="left"/>
      </w:pPr>
      <w:r>
        <w:t xml:space="preserve">With </w:t>
      </w:r>
      <w:r w:rsidR="000D3216">
        <w:t xml:space="preserve">only CKRC remaining in the case, </w:t>
      </w:r>
      <w:r>
        <w:t xml:space="preserve">DOJ </w:t>
      </w:r>
      <w:r w:rsidR="00A73C93">
        <w:t xml:space="preserve">may not be willing to </w:t>
      </w:r>
      <w:r w:rsidR="00510673">
        <w:t xml:space="preserve">keep the case in abeyance </w:t>
      </w:r>
      <w:r>
        <w:t xml:space="preserve">and </w:t>
      </w:r>
      <w:r w:rsidR="00A73C93">
        <w:t xml:space="preserve">instead </w:t>
      </w:r>
      <w:r w:rsidR="00605E2D">
        <w:t xml:space="preserve">may </w:t>
      </w:r>
      <w:r w:rsidR="00A73C93">
        <w:t xml:space="preserve">seek </w:t>
      </w:r>
      <w:r w:rsidR="00883B2C">
        <w:t>to</w:t>
      </w:r>
      <w:r w:rsidR="0018375E">
        <w:t xml:space="preserve"> bring the case to completion, </w:t>
      </w:r>
      <w:r w:rsidR="00D10033">
        <w:t xml:space="preserve">through either </w:t>
      </w:r>
      <w:r w:rsidR="0018375E">
        <w:t>a</w:t>
      </w:r>
      <w:r w:rsidR="00D10033">
        <w:t>n EPA</w:t>
      </w:r>
      <w:r w:rsidR="0018375E">
        <w:t xml:space="preserve"> </w:t>
      </w:r>
      <w:r w:rsidR="00D10033">
        <w:t>rulemaking that fixes</w:t>
      </w:r>
      <w:r w:rsidR="0011232D">
        <w:t xml:space="preserve"> CKRC’s concerns or litigation.</w:t>
      </w:r>
    </w:p>
    <w:p w:rsidR="00091C73" w:rsidP="00D14955" w:rsidRDefault="001111D7" w14:paraId="6D04816B" w14:textId="25BB8EA1">
      <w:pPr>
        <w:pStyle w:val="BodyText"/>
        <w:numPr>
          <w:ilvl w:val="0"/>
          <w:numId w:val="16"/>
        </w:numPr>
        <w:spacing w:after="0"/>
        <w:jc w:val="left"/>
      </w:pPr>
      <w:r>
        <w:t>Perform a technical analysis of</w:t>
      </w:r>
      <w:r w:rsidR="00883B2C">
        <w:t xml:space="preserve"> the current status of PS-11 implementation and identify what changes to the Rule CKRC </w:t>
      </w:r>
      <w:r>
        <w:t>would still be interested in seeking</w:t>
      </w:r>
      <w:r w:rsidR="00883B2C">
        <w:t xml:space="preserve">. In </w:t>
      </w:r>
      <w:r w:rsidR="002F5D32">
        <w:t>comments on the PS-11 Rule</w:t>
      </w:r>
      <w:r w:rsidR="00883B2C">
        <w:t>, CKRC raised</w:t>
      </w:r>
      <w:r w:rsidR="002F5D32">
        <w:t xml:space="preserve"> 35 specific and several general issues.</w:t>
      </w:r>
      <w:r w:rsidRPr="00C73327" w:rsidR="00C73327">
        <w:rPr>
          <w:rStyle w:val="FootnoteReference"/>
        </w:rPr>
        <w:t xml:space="preserve"> </w:t>
      </w:r>
      <w:r w:rsidR="00C73327">
        <w:rPr>
          <w:rStyle w:val="FootnoteReference"/>
        </w:rPr>
        <w:footnoteReference w:id="5"/>
      </w:r>
      <w:r w:rsidR="002F5D32">
        <w:t xml:space="preserve"> These issues may or may not remain a concern.</w:t>
      </w:r>
    </w:p>
    <w:p w:rsidR="00510673" w:rsidP="00510673" w:rsidRDefault="001111D7" w14:paraId="60E5CB53" w14:textId="778D1DE2">
      <w:pPr>
        <w:pStyle w:val="BodyText"/>
        <w:numPr>
          <w:ilvl w:val="1"/>
          <w:numId w:val="16"/>
        </w:numPr>
        <w:spacing w:after="0"/>
        <w:jc w:val="left"/>
      </w:pPr>
      <w:r>
        <w:t>It should be noted that t</w:t>
      </w:r>
      <w:r w:rsidR="002F5D32">
        <w:t xml:space="preserve">he PS-11 rule </w:t>
      </w:r>
      <w:r w:rsidR="00510673">
        <w:t xml:space="preserve">has been in effect for </w:t>
      </w:r>
      <w:r w:rsidR="00883B2C">
        <w:t>15 years</w:t>
      </w:r>
      <w:r w:rsidR="00985F0F">
        <w:t xml:space="preserve"> and</w:t>
      </w:r>
      <w:r w:rsidR="00883B2C">
        <w:t xml:space="preserve"> cross-references multiple NESHAPS. </w:t>
      </w:r>
      <w:r w:rsidR="00510673">
        <w:t>In that period</w:t>
      </w:r>
      <w:r w:rsidR="00993FFA">
        <w:t>,</w:t>
      </w:r>
      <w:r w:rsidR="002F5D32">
        <w:t xml:space="preserve"> EPA has issued </w:t>
      </w:r>
      <w:r w:rsidR="00883B2C">
        <w:t xml:space="preserve">many </w:t>
      </w:r>
      <w:r w:rsidR="002F5D32">
        <w:t xml:space="preserve">interpretive and guidance documents </w:t>
      </w:r>
      <w:r w:rsidR="00985F0F">
        <w:t xml:space="preserve">implementing </w:t>
      </w:r>
      <w:r w:rsidR="009D7D58">
        <w:t>PS-11</w:t>
      </w:r>
      <w:r w:rsidR="002F5D32">
        <w:t>. A CKRC technical consultant</w:t>
      </w:r>
      <w:r w:rsidR="00A73C93">
        <w:t xml:space="preserve"> </w:t>
      </w:r>
      <w:r>
        <w:t xml:space="preserve">generally </w:t>
      </w:r>
      <w:r w:rsidR="00A73C93">
        <w:t xml:space="preserve">reviewed these </w:t>
      </w:r>
      <w:r>
        <w:t xml:space="preserve">guidance documents </w:t>
      </w:r>
      <w:r w:rsidR="00A73C93">
        <w:t xml:space="preserve">and concluded </w:t>
      </w:r>
      <w:r w:rsidR="00993FFA">
        <w:t xml:space="preserve">that </w:t>
      </w:r>
      <w:r w:rsidR="00883B2C">
        <w:t xml:space="preserve">1) </w:t>
      </w:r>
      <w:r w:rsidR="002F5D32">
        <w:t xml:space="preserve">many </w:t>
      </w:r>
      <w:r w:rsidR="00993FFA">
        <w:t xml:space="preserve">initial </w:t>
      </w:r>
      <w:r w:rsidR="002F5D32">
        <w:t xml:space="preserve">concerns with </w:t>
      </w:r>
      <w:r w:rsidR="00883B2C">
        <w:t xml:space="preserve">the </w:t>
      </w:r>
      <w:r w:rsidR="002F5D32">
        <w:t>PS-11</w:t>
      </w:r>
      <w:r w:rsidR="00883B2C">
        <w:t xml:space="preserve"> Rule</w:t>
      </w:r>
      <w:r w:rsidR="002F5D32">
        <w:t xml:space="preserve"> have been addressed</w:t>
      </w:r>
      <w:r w:rsidR="00883B2C">
        <w:t xml:space="preserve"> </w:t>
      </w:r>
      <w:r w:rsidR="00E20C4E">
        <w:t xml:space="preserve">(it is unclear how many of CKRC’s general and 35 specific issues remain a concern) </w:t>
      </w:r>
      <w:r w:rsidR="00883B2C">
        <w:t>and 2)</w:t>
      </w:r>
      <w:r w:rsidR="002F5D32">
        <w:t xml:space="preserve"> </w:t>
      </w:r>
      <w:r w:rsidR="00883B2C">
        <w:t xml:space="preserve">CKRC </w:t>
      </w:r>
      <w:r w:rsidR="007D2993">
        <w:t xml:space="preserve">members </w:t>
      </w:r>
      <w:r w:rsidR="00883B2C">
        <w:t xml:space="preserve">would need to </w:t>
      </w:r>
      <w:r>
        <w:t>perform</w:t>
      </w:r>
      <w:r w:rsidR="00883B2C">
        <w:t xml:space="preserve"> a </w:t>
      </w:r>
      <w:r w:rsidR="002F5D32">
        <w:t xml:space="preserve">facility-level analysis to determine </w:t>
      </w:r>
      <w:r w:rsidR="00510673">
        <w:t xml:space="preserve">what specific </w:t>
      </w:r>
      <w:r w:rsidR="002F5D32">
        <w:t>PS-11</w:t>
      </w:r>
      <w:r w:rsidR="0018776F">
        <w:t xml:space="preserve"> elements</w:t>
      </w:r>
      <w:r w:rsidR="002F5D32">
        <w:t xml:space="preserve"> </w:t>
      </w:r>
      <w:r>
        <w:t xml:space="preserve">potentially </w:t>
      </w:r>
      <w:r w:rsidR="00883B2C">
        <w:t>r</w:t>
      </w:r>
      <w:r w:rsidR="0018776F">
        <w:t>emain</w:t>
      </w:r>
      <w:r w:rsidR="00883B2C">
        <w:t xml:space="preserve"> </w:t>
      </w:r>
      <w:r w:rsidR="002F5D32">
        <w:t>a concern for HWCs.</w:t>
      </w:r>
    </w:p>
    <w:p w:rsidR="0082280A" w:rsidP="0082280A" w:rsidRDefault="0082280A" w14:paraId="6E17CEEC" w14:textId="77777777">
      <w:pPr>
        <w:pStyle w:val="BodyText"/>
        <w:spacing w:after="0"/>
        <w:ind w:left="1800"/>
        <w:jc w:val="left"/>
      </w:pPr>
    </w:p>
    <w:p w:rsidR="00883B2C" w:rsidP="00883B2C" w:rsidRDefault="00883B2C" w14:paraId="6AB606E4" w14:textId="77777777">
      <w:pPr>
        <w:pStyle w:val="BodyText"/>
        <w:numPr>
          <w:ilvl w:val="0"/>
          <w:numId w:val="16"/>
        </w:numPr>
        <w:spacing w:after="0"/>
        <w:jc w:val="left"/>
      </w:pPr>
      <w:r>
        <w:t xml:space="preserve">For each </w:t>
      </w:r>
      <w:r w:rsidR="00C72972">
        <w:t xml:space="preserve">specific </w:t>
      </w:r>
      <w:r>
        <w:t xml:space="preserve">aspect of the Rule CKRC intends to challenge, </w:t>
      </w:r>
      <w:r w:rsidR="00B13C93">
        <w:t>develop</w:t>
      </w:r>
      <w:r>
        <w:t xml:space="preserve"> possible legal arguments and assess their viability in litigation.</w:t>
      </w:r>
    </w:p>
    <w:p w:rsidR="0082280A" w:rsidP="0082280A" w:rsidRDefault="0082280A" w14:paraId="226A24BA" w14:textId="77777777">
      <w:pPr>
        <w:pStyle w:val="BodyText"/>
        <w:spacing w:after="0"/>
        <w:ind w:left="1080"/>
        <w:jc w:val="left"/>
      </w:pPr>
    </w:p>
    <w:p w:rsidR="004E5CE9" w:rsidP="004E5CE9" w:rsidRDefault="001A622C" w14:paraId="64334D91" w14:textId="77777777">
      <w:pPr>
        <w:pStyle w:val="BodyText"/>
        <w:numPr>
          <w:ilvl w:val="0"/>
          <w:numId w:val="16"/>
        </w:numPr>
        <w:spacing w:after="0"/>
        <w:jc w:val="left"/>
      </w:pPr>
      <w:r>
        <w:t>P</w:t>
      </w:r>
      <w:r w:rsidR="004E5CE9">
        <w:t>repare for possible negative publicity and unwanted attention</w:t>
      </w:r>
      <w:r w:rsidR="00B13C93">
        <w:t xml:space="preserve"> to </w:t>
      </w:r>
      <w:r>
        <w:t>HWCs</w:t>
      </w:r>
      <w:r w:rsidR="004E5CE9">
        <w:t>.</w:t>
      </w:r>
    </w:p>
    <w:p w:rsidR="00EF337D" w:rsidP="0018776F" w:rsidRDefault="004E5CE9" w14:paraId="1F338D5E" w14:textId="77777777">
      <w:pPr>
        <w:pStyle w:val="BodyText"/>
        <w:numPr>
          <w:ilvl w:val="1"/>
          <w:numId w:val="16"/>
        </w:numPr>
        <w:spacing w:after="0"/>
        <w:jc w:val="left"/>
      </w:pPr>
      <w:r>
        <w:t>Active litigation entails electronic filings with the court, which are closely tracked by groups interest</w:t>
      </w:r>
      <w:r w:rsidR="00A439B9">
        <w:t>ed in RCRA and hazardous waste.</w:t>
      </w:r>
    </w:p>
    <w:p w:rsidR="00602933" w:rsidP="001A1A19" w:rsidRDefault="00602933" w14:paraId="05F17EC7" w14:textId="77777777">
      <w:pPr>
        <w:pStyle w:val="BodyText"/>
        <w:spacing w:after="0"/>
        <w:jc w:val="left"/>
      </w:pPr>
    </w:p>
    <w:p w:rsidR="008B0725" w:rsidP="001A1A19" w:rsidRDefault="008B0725" w14:paraId="4215CF7B" w14:textId="77777777">
      <w:pPr>
        <w:pStyle w:val="BodyText"/>
        <w:spacing w:after="0"/>
        <w:jc w:val="left"/>
      </w:pPr>
    </w:p>
    <w:p w:rsidR="001A1A19" w:rsidP="001A1A19" w:rsidRDefault="001A1A19" w14:paraId="0E4F1BFB" w14:textId="6165FF1F">
      <w:pPr>
        <w:pStyle w:val="BodyText"/>
        <w:spacing w:after="0"/>
        <w:jc w:val="left"/>
        <w:rPr>
          <w:b/>
        </w:rPr>
      </w:pPr>
      <w:r>
        <w:rPr>
          <w:b/>
        </w:rPr>
        <w:t>C</w:t>
      </w:r>
      <w:r w:rsidRPr="00A439B9">
        <w:rPr>
          <w:b/>
        </w:rPr>
        <w:t xml:space="preserve">.  </w:t>
      </w:r>
      <w:r>
        <w:rPr>
          <w:b/>
        </w:rPr>
        <w:t>NEGOTIATE A SETTLEMENT AGREEMENT WITH DOJ/EPA</w:t>
      </w:r>
    </w:p>
    <w:p w:rsidR="00863331" w:rsidP="001C43F6" w:rsidRDefault="001C43F6" w14:paraId="7B99AB84" w14:textId="304AB827">
      <w:pPr>
        <w:pStyle w:val="BodyText"/>
        <w:spacing w:after="0"/>
        <w:jc w:val="left"/>
      </w:pPr>
      <w:r>
        <w:t xml:space="preserve">      </w:t>
      </w:r>
      <w:r w:rsidR="00863331">
        <w:t>CKRC could try to n</w:t>
      </w:r>
      <w:r w:rsidR="00D66974">
        <w:t xml:space="preserve">egotiate with DOJ/EPA on a </w:t>
      </w:r>
      <w:r w:rsidR="005F6ADE">
        <w:t>settlement agreement</w:t>
      </w:r>
      <w:r w:rsidR="003517D0">
        <w:t xml:space="preserve"> that includes </w:t>
      </w:r>
      <w:r>
        <w:t xml:space="preserve">helpful </w:t>
      </w:r>
      <w:r w:rsidR="003517D0">
        <w:t>language</w:t>
      </w:r>
      <w:r w:rsidR="0011232D">
        <w:t>.</w:t>
      </w:r>
      <w:r w:rsidR="003517D0">
        <w:t xml:space="preserve"> </w:t>
      </w:r>
    </w:p>
    <w:p w:rsidR="005C5047" w:rsidP="00D12DD6" w:rsidRDefault="0011232D" w14:paraId="44461DB3" w14:textId="133966BD">
      <w:pPr>
        <w:pStyle w:val="BodyText"/>
        <w:numPr>
          <w:ilvl w:val="0"/>
          <w:numId w:val="23"/>
        </w:numPr>
        <w:spacing w:after="0"/>
        <w:ind w:left="720"/>
        <w:jc w:val="left"/>
      </w:pPr>
      <w:r>
        <w:t>Some helpful language could be, f</w:t>
      </w:r>
      <w:r w:rsidR="00863331">
        <w:t xml:space="preserve">or </w:t>
      </w:r>
      <w:r w:rsidR="00463343">
        <w:t xml:space="preserve">example: </w:t>
      </w:r>
    </w:p>
    <w:p w:rsidR="00D66974" w:rsidP="001A1A19" w:rsidRDefault="00D66974" w14:paraId="50EE435A" w14:textId="77777777">
      <w:pPr>
        <w:pStyle w:val="BodyText"/>
        <w:numPr>
          <w:ilvl w:val="1"/>
          <w:numId w:val="19"/>
        </w:numPr>
        <w:spacing w:after="0"/>
        <w:jc w:val="left"/>
      </w:pPr>
      <w:r>
        <w:t xml:space="preserve">If DOJ is willing </w:t>
      </w:r>
      <w:r w:rsidR="003517D0">
        <w:t>(</w:t>
      </w:r>
      <w:r>
        <w:t xml:space="preserve">and if </w:t>
      </w:r>
      <w:r w:rsidR="003517D0">
        <w:t>the law permits)</w:t>
      </w:r>
      <w:r>
        <w:t>, the agreement could preserve CKRC’</w:t>
      </w:r>
      <w:r w:rsidR="00463343">
        <w:t>s right to challenge</w:t>
      </w:r>
      <w:r w:rsidR="003517D0">
        <w:t xml:space="preserve"> elements of PS-11 that harm CKRC members</w:t>
      </w:r>
      <w:r w:rsidR="00463343">
        <w:t xml:space="preserve"> once they are made applicable to HWCs</w:t>
      </w:r>
      <w:r w:rsidR="003517D0">
        <w:t>.</w:t>
      </w:r>
    </w:p>
    <w:p w:rsidR="00E22A78" w:rsidP="00E22A78" w:rsidRDefault="00E22A78" w14:paraId="638168B4" w14:textId="77777777">
      <w:pPr>
        <w:pStyle w:val="BodyText"/>
        <w:spacing w:after="0"/>
        <w:ind w:left="1080"/>
        <w:jc w:val="left"/>
      </w:pPr>
    </w:p>
    <w:p w:rsidR="008B0725" w:rsidP="008B0725" w:rsidRDefault="008B0725" w14:paraId="59C56977" w14:textId="77777777">
      <w:pPr>
        <w:pStyle w:val="BodyText"/>
        <w:spacing w:after="0"/>
        <w:ind w:left="1080"/>
        <w:jc w:val="left"/>
      </w:pPr>
    </w:p>
    <w:p w:rsidR="0018776F" w:rsidP="001A1A19" w:rsidRDefault="005C5047" w14:paraId="5F9AC00A" w14:textId="77777777">
      <w:pPr>
        <w:pStyle w:val="BodyText"/>
        <w:numPr>
          <w:ilvl w:val="1"/>
          <w:numId w:val="19"/>
        </w:numPr>
        <w:spacing w:after="0"/>
        <w:jc w:val="left"/>
      </w:pPr>
      <w:r>
        <w:lastRenderedPageBreak/>
        <w:t>If DOJ is willing, the agreem</w:t>
      </w:r>
      <w:r w:rsidR="009F2F95">
        <w:t>ent could re-state the regulatory precondition</w:t>
      </w:r>
      <w:r>
        <w:t xml:space="preserve"> in the preamble </w:t>
      </w:r>
      <w:r w:rsidR="003517D0">
        <w:t xml:space="preserve">and Breen letter </w:t>
      </w:r>
      <w:r>
        <w:t xml:space="preserve">that </w:t>
      </w:r>
      <w:r w:rsidR="003517D0">
        <w:t xml:space="preserve">EPA must do an HWC-specific rulemaking before PM CEMS can be required, and that </w:t>
      </w:r>
      <w:r>
        <w:t xml:space="preserve">the </w:t>
      </w:r>
      <w:r w:rsidR="003517D0">
        <w:t>PS-11 R</w:t>
      </w:r>
      <w:r>
        <w:t xml:space="preserve">ule does not </w:t>
      </w:r>
      <w:r w:rsidR="003517D0">
        <w:t>constitute such a rulemaking.</w:t>
      </w:r>
    </w:p>
    <w:p w:rsidR="0011232D" w:rsidP="0011232D" w:rsidRDefault="0011232D" w14:paraId="612E7B83" w14:textId="77777777">
      <w:pPr>
        <w:pStyle w:val="BodyText"/>
        <w:spacing w:after="0"/>
        <w:ind w:left="1080"/>
        <w:jc w:val="left"/>
      </w:pPr>
    </w:p>
    <w:p w:rsidR="00463343" w:rsidP="001A1A19" w:rsidRDefault="0006189F" w14:paraId="4EC6327F" w14:textId="77777777">
      <w:pPr>
        <w:pStyle w:val="BodyText"/>
        <w:numPr>
          <w:ilvl w:val="0"/>
          <w:numId w:val="23"/>
        </w:numPr>
        <w:spacing w:after="0"/>
        <w:ind w:left="720"/>
        <w:jc w:val="left"/>
      </w:pPr>
      <w:r>
        <w:t>Legal effect</w:t>
      </w:r>
    </w:p>
    <w:p w:rsidR="00463343" w:rsidP="001A1A19" w:rsidRDefault="003517D0" w14:paraId="248C1D70" w14:textId="77777777">
      <w:pPr>
        <w:pStyle w:val="BodyText"/>
        <w:numPr>
          <w:ilvl w:val="1"/>
          <w:numId w:val="19"/>
        </w:numPr>
        <w:spacing w:after="0"/>
        <w:jc w:val="left"/>
      </w:pPr>
      <w:r>
        <w:t xml:space="preserve">CKRC would preserve its ability to sue </w:t>
      </w:r>
      <w:r w:rsidR="00463343">
        <w:t xml:space="preserve">and/or </w:t>
      </w:r>
      <w:r w:rsidR="0006189F">
        <w:t>formally assure</w:t>
      </w:r>
      <w:r w:rsidR="00463343">
        <w:t xml:space="preserve"> that PM CEMS w</w:t>
      </w:r>
      <w:r w:rsidR="0006189F">
        <w:t>ill not take effect without a prior rulemaking.</w:t>
      </w:r>
    </w:p>
    <w:p w:rsidR="00E22A78" w:rsidP="00236595" w:rsidRDefault="00D66974" w14:paraId="696FC965" w14:textId="5FE2EF39">
      <w:pPr>
        <w:pStyle w:val="BodyText"/>
        <w:numPr>
          <w:ilvl w:val="1"/>
          <w:numId w:val="19"/>
        </w:numPr>
        <w:spacing w:after="0"/>
        <w:jc w:val="left"/>
      </w:pPr>
      <w:r>
        <w:t>DOJ could question how CKRC</w:t>
      </w:r>
      <w:r w:rsidR="009F2F95">
        <w:t xml:space="preserve"> </w:t>
      </w:r>
      <w:r>
        <w:t>is harmed by PS-11, assuming DOJ agrees that EPA must do a rulemaking before the PM CEMS requirement takes</w:t>
      </w:r>
      <w:r w:rsidR="009F2F95">
        <w:t xml:space="preserve"> effect.</w:t>
      </w:r>
    </w:p>
    <w:p w:rsidR="00E22A78" w:rsidP="00236595" w:rsidRDefault="00463343" w14:paraId="008E05CE" w14:textId="1E2A13A3">
      <w:pPr>
        <w:pStyle w:val="BodyText"/>
        <w:numPr>
          <w:ilvl w:val="1"/>
          <w:numId w:val="19"/>
        </w:numPr>
        <w:spacing w:after="0"/>
        <w:jc w:val="left"/>
      </w:pPr>
      <w:r>
        <w:t>Settlement agreements in rulemaking cases must be noticed</w:t>
      </w:r>
      <w:r w:rsidR="009139F5">
        <w:t xml:space="preserve"> in the Federal Register for 30 </w:t>
      </w:r>
      <w:r>
        <w:t>days of comment</w:t>
      </w:r>
      <w:r w:rsidR="0006189F">
        <w:t xml:space="preserve">. That </w:t>
      </w:r>
      <w:r>
        <w:t>open</w:t>
      </w:r>
      <w:r w:rsidR="0006189F">
        <w:t>s</w:t>
      </w:r>
      <w:r>
        <w:t xml:space="preserve"> the door to an opposing factual and legal record that DOJ/EPA would need to overcome to finalize the settlement agreement.</w:t>
      </w:r>
    </w:p>
    <w:p w:rsidR="0006189F" w:rsidP="00D12DD6" w:rsidRDefault="0006189F" w14:paraId="0DC7C6BB" w14:textId="77777777">
      <w:pPr>
        <w:pStyle w:val="BodyText"/>
        <w:numPr>
          <w:ilvl w:val="1"/>
          <w:numId w:val="19"/>
        </w:numPr>
        <w:spacing w:after="0"/>
        <w:jc w:val="left"/>
      </w:pPr>
      <w:r>
        <w:t xml:space="preserve">This could trigger EPA’s commitment to transparency in resolving citizen suits and rulemaking challenges, which may involve informing all stakeholders of the pending negotiations. </w:t>
      </w:r>
    </w:p>
    <w:p w:rsidR="0082280A" w:rsidP="0082280A" w:rsidRDefault="0082280A" w14:paraId="41C98C82" w14:textId="77777777">
      <w:pPr>
        <w:pStyle w:val="BodyText"/>
        <w:spacing w:after="0"/>
        <w:ind w:left="1350"/>
        <w:jc w:val="left"/>
      </w:pPr>
    </w:p>
    <w:p w:rsidR="001A0B20" w:rsidP="00D12DD6" w:rsidRDefault="00355B4C" w14:paraId="441FB0C7" w14:textId="28637DBB">
      <w:pPr>
        <w:pStyle w:val="BodyText"/>
        <w:numPr>
          <w:ilvl w:val="0"/>
          <w:numId w:val="23"/>
        </w:numPr>
        <w:spacing w:after="0"/>
        <w:ind w:left="720"/>
        <w:jc w:val="left"/>
      </w:pPr>
      <w:r>
        <w:t>Additional consideration</w:t>
      </w:r>
      <w:r w:rsidR="0082280A">
        <w:t>s</w:t>
      </w:r>
    </w:p>
    <w:p w:rsidR="00E22A78" w:rsidP="00236595" w:rsidRDefault="0082280A" w14:paraId="77F36BD7" w14:textId="6EF71590">
      <w:pPr>
        <w:pStyle w:val="BodyText"/>
        <w:numPr>
          <w:ilvl w:val="0"/>
          <w:numId w:val="27"/>
        </w:numPr>
        <w:spacing w:after="0"/>
        <w:jc w:val="left"/>
      </w:pPr>
      <w:r>
        <w:t xml:space="preserve">Engaging on this level will also take resources, Assuming DOJ/EPA do not reject this option, the negotiations could take a fair amount of effort and time, and ultimate resolution could be well into the future.  </w:t>
      </w:r>
    </w:p>
    <w:p w:rsidRPr="00602933" w:rsidR="00E3368A" w:rsidP="00D12DD6" w:rsidRDefault="0006189F" w14:paraId="0ECD88A7" w14:textId="77777777">
      <w:pPr>
        <w:pStyle w:val="BodyText"/>
        <w:numPr>
          <w:ilvl w:val="2"/>
          <w:numId w:val="19"/>
        </w:numPr>
        <w:spacing w:after="0"/>
        <w:ind w:left="1080"/>
        <w:jc w:val="left"/>
      </w:pPr>
      <w:r>
        <w:t>DOJ/EPA sometimes take a conservative approach to settlement agreements and will not consider agreements that impose extra-statutory legal obligations on the US. These provisions could be considered additive to already existing duties under the CAA.</w:t>
      </w:r>
    </w:p>
    <w:sectPr w:rsidRPr="00602933" w:rsidR="00E3368A" w:rsidSect="00D94367">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65600" w16cid:durableId="212F1716"/>
  <w16cid:commentId w16cid:paraId="08B8C0A0" w16cid:durableId="212F194B"/>
  <w16cid:commentId w16cid:paraId="55FBEAEE" w16cid:durableId="212F1A93"/>
  <w16cid:commentId w16cid:paraId="2AF8F2DD" w16cid:durableId="212F1B2F"/>
  <w16cid:commentId w16cid:paraId="59EBA79B" w16cid:durableId="212F1BA0"/>
  <w16cid:commentId w16cid:paraId="419F65E1" w16cid:durableId="212F1C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3C0" w:rsidP="00D06F3D" w:rsidRDefault="00F333C0" w14:paraId="686A407E" w14:textId="77777777">
      <w:pPr>
        <w:spacing w:after="0"/>
      </w:pPr>
      <w:r>
        <w:separator/>
      </w:r>
    </w:p>
  </w:endnote>
  <w:endnote w:type="continuationSeparator" w:id="0">
    <w:p w:rsidR="00F333C0" w:rsidP="00D06F3D" w:rsidRDefault="00F333C0" w14:paraId="5A8F0B6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D9" w:rsidRDefault="00C504D9" w14:paraId="3BED0932" w14:textId="77777777">
    <w:pPr>
      <w:pStyle w:val="Footer"/>
    </w:pPr>
    <w:r>
      <w:tab/>
      <w:t>-</w:t>
    </w:r>
    <w:r>
      <w:fldChar w:fldCharType="begin"/>
    </w:r>
    <w:r>
      <w:instrText xml:space="preserve"> PAGE   \* MERGEFORMAT </w:instrText>
    </w:r>
    <w:r>
      <w:fldChar w:fldCharType="separate"/>
    </w:r>
    <w:r w:rsidR="000A0712">
      <w:rPr>
        <w:noProof/>
      </w:rPr>
      <w:t>4</w:t>
    </w:r>
    <w:r>
      <w:rPr>
        <w:noProof/>
      </w:rPr>
      <w:fldChar w:fldCharType="end"/>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3C0" w:rsidP="00D06F3D" w:rsidRDefault="00F333C0" w14:paraId="18E220EC" w14:textId="77777777">
      <w:pPr>
        <w:spacing w:after="0"/>
      </w:pPr>
      <w:r>
        <w:separator/>
      </w:r>
    </w:p>
  </w:footnote>
  <w:footnote w:type="continuationSeparator" w:id="0">
    <w:p w:rsidR="00F333C0" w:rsidP="00D06F3D" w:rsidRDefault="00F333C0" w14:paraId="7BD43869" w14:textId="77777777">
      <w:pPr>
        <w:spacing w:after="0"/>
      </w:pPr>
      <w:r>
        <w:continuationSeparator/>
      </w:r>
    </w:p>
  </w:footnote>
  <w:footnote w:id="1">
    <w:p w:rsidR="00EE2D1F" w:rsidRDefault="00EE2D1F" w14:paraId="4E407E14" w14:textId="77777777">
      <w:pPr>
        <w:pStyle w:val="FootnoteText"/>
      </w:pPr>
      <w:r>
        <w:rPr>
          <w:rStyle w:val="FootnoteReference"/>
        </w:rPr>
        <w:footnoteRef/>
      </w:r>
      <w:r>
        <w:t xml:space="preserve"> </w:t>
      </w:r>
      <w:r w:rsidRPr="009A76B2" w:rsidR="009A76B2">
        <w:rPr>
          <w:i/>
        </w:rPr>
        <w:t>Cement Kiln Recycling v. EPA</w:t>
      </w:r>
      <w:r w:rsidR="009A76B2">
        <w:t xml:space="preserve"> (D.C. Cir. 04-1077)</w:t>
      </w:r>
    </w:p>
  </w:footnote>
  <w:footnote w:id="2">
    <w:p w:rsidR="002B71D6" w:rsidRDefault="002B71D6" w14:paraId="1B31AB05" w14:textId="77777777">
      <w:pPr>
        <w:pStyle w:val="FootnoteText"/>
      </w:pPr>
      <w:r>
        <w:rPr>
          <w:rStyle w:val="FootnoteReference"/>
        </w:rPr>
        <w:footnoteRef/>
      </w:r>
      <w:r>
        <w:t xml:space="preserve"> See also, HWC MACT Final Rule 64 FR 52828 (Sep 30, 1999).</w:t>
      </w:r>
    </w:p>
  </w:footnote>
  <w:footnote w:id="3">
    <w:p w:rsidR="002B71D6" w:rsidRDefault="002B71D6" w14:paraId="5B7AABEB" w14:textId="77777777">
      <w:pPr>
        <w:pStyle w:val="FootnoteText"/>
      </w:pPr>
      <w:r>
        <w:rPr>
          <w:rStyle w:val="FootnoteReference"/>
        </w:rPr>
        <w:footnoteRef/>
      </w:r>
      <w:r>
        <w:t xml:space="preserve"> PS-11 Final Rule 69 FR 1786, 1790 (Jan 12, 2004).</w:t>
      </w:r>
    </w:p>
  </w:footnote>
  <w:footnote w:id="4">
    <w:p w:rsidR="002B71D6" w:rsidRDefault="002B71D6" w14:paraId="0C222CB1" w14:textId="77777777">
      <w:pPr>
        <w:pStyle w:val="FootnoteText"/>
      </w:pPr>
      <w:r>
        <w:rPr>
          <w:rStyle w:val="FootnoteReference"/>
        </w:rPr>
        <w:footnoteRef/>
      </w:r>
      <w:r>
        <w:t xml:space="preserve"> PS-11 Final Rule 69 FR 1786, 1790 (Jan 12, 2004).</w:t>
      </w:r>
    </w:p>
  </w:footnote>
  <w:footnote w:id="5">
    <w:p w:rsidR="00C73327" w:rsidP="00C73327" w:rsidRDefault="00C73327" w14:paraId="16193F5F" w14:textId="77777777">
      <w:pPr>
        <w:pStyle w:val="FootnoteText"/>
      </w:pPr>
      <w:r>
        <w:rPr>
          <w:rStyle w:val="FootnoteReference"/>
        </w:rPr>
        <w:footnoteRef/>
      </w:r>
      <w:r>
        <w:t xml:space="preserve"> Among the general issues CKRC raised in comments are these: EPA has not demonstrated the technical adequacy of PM CEMS to meet the requirements of  PS-11 and Procedure 2; EPA should continue to rely on continuous opacity monitors to evaluate compliance until PM CEMS have been technically demonstrated in general and with respect to their application to cement industry sources; Use of PM CEMS to establish operating permit limits (OPLs) is inappropriate; EPA has not demonstrated that there is a consistent and predictable relationship between PM emissions and metal HAP emissions to justify direct compliance using a PM CEMS; and the statistical analyses should be modified.</w:t>
      </w:r>
    </w:p>
    <w:p w:rsidR="00C73327" w:rsidP="00C73327" w:rsidRDefault="00C73327" w14:paraId="61A0D469" w14:textId="777777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67" w:rsidP="00D94367" w:rsidRDefault="00D94367" w14:paraId="71532606" w14:textId="77777777">
    <w:pPr>
      <w:pStyle w:val="Header"/>
    </w:pPr>
    <w:r>
      <w:t>CKRC</w:t>
    </w:r>
    <w:r>
      <w:tab/>
      <w:t>ATTORNEY WORK PRODUCT PRIVILEGED</w:t>
    </w:r>
  </w:p>
  <w:p w:rsidR="00D94367" w:rsidP="00D94367" w:rsidRDefault="00D94367" w14:paraId="1DE6B97B" w14:textId="77777777">
    <w:pPr>
      <w:pStyle w:val="Header"/>
    </w:pPr>
    <w:r>
      <w:tab/>
      <w:t>ATTORNEY CLIENT PRIVILEGED</w:t>
    </w:r>
  </w:p>
  <w:p w:rsidR="00D94367" w:rsidP="00D94367" w:rsidRDefault="00D94367" w14:paraId="37665C8E"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38" w:rsidP="006B539D" w:rsidRDefault="00585F38" w14:paraId="36D2689C" w14:textId="77777777">
    <w:pPr>
      <w:pStyle w:val="Header"/>
      <w:jc w:val="center"/>
    </w:pPr>
    <w:r>
      <w:t>ATTORNEY WORK PRODUCT PRIVILEGED</w:t>
    </w:r>
  </w:p>
  <w:p w:rsidR="00585F38" w:rsidP="006B539D" w:rsidRDefault="00585F38" w14:paraId="4103FD1E" w14:textId="77777777">
    <w:pPr>
      <w:pStyle w:val="Header"/>
      <w:jc w:val="center"/>
    </w:pPr>
    <w:r>
      <w:t>ATTORNEY CLIENT PRIVILEGED</w:t>
    </w:r>
  </w:p>
  <w:p w:rsidR="00585F38" w:rsidRDefault="00585F38" w14:paraId="51123693"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D6BA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2821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D64E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DE30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64D6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1678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C689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7A22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62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7848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B6BAD"/>
    <w:multiLevelType w:val="hybridMultilevel"/>
    <w:tmpl w:val="07EE8372"/>
    <w:lvl w:ilvl="0" w:tplc="A8A41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4A6AD0"/>
    <w:multiLevelType w:val="hybridMultilevel"/>
    <w:tmpl w:val="E34C9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44F2D"/>
    <w:multiLevelType w:val="multilevel"/>
    <w:tmpl w:val="C816ADF2"/>
    <w:lvl w:ilvl="0">
      <w:start w:val="1"/>
      <w:numFmt w:val="decimal"/>
      <w:pStyle w:val="Numbered1"/>
      <w:lvlText w:val="%1."/>
      <w:lvlJc w:val="left"/>
      <w:pPr>
        <w:ind w:left="720" w:hanging="720"/>
      </w:pPr>
      <w:rPr>
        <w:rFonts w:hint="default"/>
      </w:rPr>
    </w:lvl>
    <w:lvl w:ilvl="1">
      <w:start w:val="1"/>
      <w:numFmt w:val="lowerLetter"/>
      <w:pStyle w:val="Numbered2"/>
      <w:lvlText w:val="%2."/>
      <w:lvlJc w:val="left"/>
      <w:pPr>
        <w:ind w:left="1440" w:hanging="720"/>
      </w:pPr>
      <w:rPr>
        <w:rFonts w:hint="default"/>
      </w:rPr>
    </w:lvl>
    <w:lvl w:ilvl="2">
      <w:start w:val="1"/>
      <w:numFmt w:val="lowerRoman"/>
      <w:pStyle w:val="Numbered3"/>
      <w:lvlText w:val="%3."/>
      <w:lvlJc w:val="left"/>
      <w:pPr>
        <w:tabs>
          <w:tab w:val="num" w:pos="1440"/>
        </w:tabs>
        <w:ind w:left="2160" w:hanging="720"/>
      </w:pPr>
      <w:rPr>
        <w:rFonts w:hint="default"/>
      </w:rPr>
    </w:lvl>
    <w:lvl w:ilvl="3">
      <w:start w:val="1"/>
      <w:numFmt w:val="decimal"/>
      <w:pStyle w:val="Numbered4"/>
      <w:lvlText w:val="(%4)"/>
      <w:lvlJc w:val="left"/>
      <w:pPr>
        <w:tabs>
          <w:tab w:val="num" w:pos="2160"/>
        </w:tabs>
        <w:ind w:left="2880" w:hanging="720"/>
      </w:pPr>
      <w:rPr>
        <w:rFonts w:hint="default"/>
      </w:rPr>
    </w:lvl>
    <w:lvl w:ilvl="4">
      <w:start w:val="1"/>
      <w:numFmt w:val="lowerLetter"/>
      <w:pStyle w:val="Numbered5"/>
      <w:lvlText w:val="(%5)"/>
      <w:lvlJc w:val="left"/>
      <w:pPr>
        <w:tabs>
          <w:tab w:val="num" w:pos="2880"/>
        </w:tabs>
        <w:ind w:left="3600" w:hanging="720"/>
      </w:pPr>
      <w:rPr>
        <w:rFonts w:hint="default"/>
      </w:rPr>
    </w:lvl>
    <w:lvl w:ilvl="5">
      <w:start w:val="1"/>
      <w:numFmt w:val="lowerRoman"/>
      <w:pStyle w:val="Numbered6"/>
      <w:lvlText w:val="(%6)"/>
      <w:lvlJc w:val="left"/>
      <w:pPr>
        <w:tabs>
          <w:tab w:val="num" w:pos="3600"/>
        </w:tabs>
        <w:ind w:left="4320" w:hanging="720"/>
      </w:pPr>
      <w:rPr>
        <w:rFonts w:hint="default"/>
      </w:rPr>
    </w:lvl>
    <w:lvl w:ilvl="6">
      <w:start w:val="1"/>
      <w:numFmt w:val="decimal"/>
      <w:pStyle w:val="Numbered7"/>
      <w:lvlText w:val="%7."/>
      <w:lvlJc w:val="left"/>
      <w:pPr>
        <w:tabs>
          <w:tab w:val="num" w:pos="4320"/>
        </w:tabs>
        <w:ind w:left="5040" w:hanging="720"/>
      </w:pPr>
      <w:rPr>
        <w:rFonts w:hint="default"/>
      </w:rPr>
    </w:lvl>
    <w:lvl w:ilvl="7">
      <w:start w:val="1"/>
      <w:numFmt w:val="lowerLetter"/>
      <w:pStyle w:val="Numbered8"/>
      <w:lvlText w:val="%8."/>
      <w:lvlJc w:val="left"/>
      <w:pPr>
        <w:tabs>
          <w:tab w:val="num" w:pos="5328"/>
        </w:tabs>
        <w:ind w:left="5760" w:hanging="720"/>
      </w:pPr>
      <w:rPr>
        <w:rFonts w:hint="default"/>
      </w:rPr>
    </w:lvl>
    <w:lvl w:ilvl="8">
      <w:start w:val="1"/>
      <w:numFmt w:val="lowerRoman"/>
      <w:pStyle w:val="Numbered9"/>
      <w:lvlText w:val="%9."/>
      <w:lvlJc w:val="left"/>
      <w:pPr>
        <w:tabs>
          <w:tab w:val="num" w:pos="5760"/>
        </w:tabs>
        <w:ind w:left="6480" w:hanging="720"/>
      </w:pPr>
      <w:rPr>
        <w:rFonts w:hint="default"/>
      </w:rPr>
    </w:lvl>
  </w:abstractNum>
  <w:abstractNum w:abstractNumId="13" w15:restartNumberingAfterBreak="0">
    <w:nsid w:val="18704296"/>
    <w:multiLevelType w:val="hybridMultilevel"/>
    <w:tmpl w:val="5BB222AC"/>
    <w:lvl w:ilvl="0" w:tplc="0632003A">
      <w:start w:val="1"/>
      <w:numFmt w:val="upperLetter"/>
      <w:pStyle w:val="Numbere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15AB2"/>
    <w:multiLevelType w:val="hybridMultilevel"/>
    <w:tmpl w:val="9D96EE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AA4497"/>
    <w:multiLevelType w:val="hybridMultilevel"/>
    <w:tmpl w:val="25B613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7E61D2"/>
    <w:multiLevelType w:val="singleLevel"/>
    <w:tmpl w:val="67243722"/>
    <w:lvl w:ilvl="0">
      <w:start w:val="1"/>
      <w:numFmt w:val="decimal"/>
      <w:pStyle w:val="Style8"/>
      <w:lvlText w:val="%1."/>
      <w:lvlJc w:val="left"/>
      <w:pPr>
        <w:tabs>
          <w:tab w:val="num" w:pos="360"/>
        </w:tabs>
        <w:ind w:left="360" w:hanging="360"/>
      </w:pPr>
    </w:lvl>
  </w:abstractNum>
  <w:abstractNum w:abstractNumId="17" w15:restartNumberingAfterBreak="0">
    <w:nsid w:val="38084454"/>
    <w:multiLevelType w:val="hybridMultilevel"/>
    <w:tmpl w:val="52F01C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044EC4"/>
    <w:multiLevelType w:val="hybridMultilevel"/>
    <w:tmpl w:val="E97856AC"/>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996CB0"/>
    <w:multiLevelType w:val="hybridMultilevel"/>
    <w:tmpl w:val="9C4ED4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637B9"/>
    <w:multiLevelType w:val="hybridMultilevel"/>
    <w:tmpl w:val="E314F3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3E7B6C"/>
    <w:multiLevelType w:val="hybridMultilevel"/>
    <w:tmpl w:val="75AE1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707206"/>
    <w:multiLevelType w:val="hybridMultilevel"/>
    <w:tmpl w:val="F94C9926"/>
    <w:lvl w:ilvl="0" w:tplc="A8A41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54C74"/>
    <w:multiLevelType w:val="multilevel"/>
    <w:tmpl w:val="AD9014A8"/>
    <w:lvl w:ilvl="0">
      <w:start w:val="1"/>
      <w:numFmt w:val="bullet"/>
      <w:pStyle w:val="Bulleted1"/>
      <w:lvlText w:val=""/>
      <w:lvlJc w:val="left"/>
      <w:pPr>
        <w:ind w:left="720" w:hanging="720"/>
      </w:pPr>
      <w:rPr>
        <w:rFonts w:ascii="Symbol" w:hAnsi="Symbol" w:hint="default"/>
        <w:color w:val="auto"/>
      </w:rPr>
    </w:lvl>
    <w:lvl w:ilvl="1">
      <w:start w:val="1"/>
      <w:numFmt w:val="bullet"/>
      <w:pStyle w:val="Bulleted2"/>
      <w:lvlText w:val=""/>
      <w:lvlJc w:val="left"/>
      <w:pPr>
        <w:ind w:left="1440" w:hanging="720"/>
      </w:pPr>
      <w:rPr>
        <w:rFonts w:ascii="Symbol" w:hAnsi="Symbol" w:hint="default"/>
        <w:color w:val="auto"/>
      </w:rPr>
    </w:lvl>
    <w:lvl w:ilvl="2">
      <w:start w:val="1"/>
      <w:numFmt w:val="bullet"/>
      <w:pStyle w:val="Bulleted3"/>
      <w:lvlText w:val=""/>
      <w:lvlJc w:val="left"/>
      <w:pPr>
        <w:ind w:left="2160" w:hanging="720"/>
      </w:pPr>
      <w:rPr>
        <w:rFonts w:ascii="Symbol" w:hAnsi="Symbol" w:hint="default"/>
        <w:color w:val="auto"/>
      </w:rPr>
    </w:lvl>
    <w:lvl w:ilvl="3">
      <w:start w:val="1"/>
      <w:numFmt w:val="bullet"/>
      <w:pStyle w:val="Bulleted4"/>
      <w:lvlText w:val=""/>
      <w:lvlJc w:val="left"/>
      <w:pPr>
        <w:tabs>
          <w:tab w:val="num" w:pos="2160"/>
        </w:tabs>
        <w:ind w:left="2880" w:hanging="720"/>
      </w:pPr>
      <w:rPr>
        <w:rFonts w:ascii="Symbol" w:hAnsi="Symbol" w:hint="default"/>
      </w:rPr>
    </w:lvl>
    <w:lvl w:ilvl="4">
      <w:start w:val="1"/>
      <w:numFmt w:val="bullet"/>
      <w:pStyle w:val="Bulleted5"/>
      <w:lvlText w:val=""/>
      <w:lvlJc w:val="left"/>
      <w:pPr>
        <w:tabs>
          <w:tab w:val="num" w:pos="2880"/>
        </w:tabs>
        <w:ind w:left="3600" w:hanging="720"/>
      </w:pPr>
      <w:rPr>
        <w:rFonts w:ascii="Symbol" w:hAnsi="Symbol" w:hint="default"/>
      </w:rPr>
    </w:lvl>
    <w:lvl w:ilvl="5">
      <w:start w:val="1"/>
      <w:numFmt w:val="bullet"/>
      <w:pStyle w:val="Bulleted6"/>
      <w:lvlText w:val=""/>
      <w:lvlJc w:val="left"/>
      <w:pPr>
        <w:tabs>
          <w:tab w:val="num" w:pos="3600"/>
        </w:tabs>
        <w:ind w:left="4320" w:hanging="720"/>
      </w:pPr>
      <w:rPr>
        <w:rFonts w:ascii="Symbol" w:hAnsi="Symbol" w:hint="default"/>
      </w:rPr>
    </w:lvl>
    <w:lvl w:ilvl="6">
      <w:start w:val="1"/>
      <w:numFmt w:val="bullet"/>
      <w:pStyle w:val="Bulleted7"/>
      <w:lvlText w:val=""/>
      <w:lvlJc w:val="left"/>
      <w:pPr>
        <w:tabs>
          <w:tab w:val="num" w:pos="4320"/>
        </w:tabs>
        <w:ind w:left="5040" w:hanging="720"/>
      </w:pPr>
      <w:rPr>
        <w:rFonts w:ascii="Symbol" w:hAnsi="Symbol" w:hint="default"/>
      </w:rPr>
    </w:lvl>
    <w:lvl w:ilvl="7">
      <w:start w:val="1"/>
      <w:numFmt w:val="bullet"/>
      <w:pStyle w:val="Bulleted8"/>
      <w:lvlText w:val=""/>
      <w:lvlJc w:val="left"/>
      <w:pPr>
        <w:tabs>
          <w:tab w:val="num" w:pos="5040"/>
        </w:tabs>
        <w:ind w:left="5760" w:hanging="720"/>
      </w:pPr>
      <w:rPr>
        <w:rFonts w:ascii="Symbol" w:hAnsi="Symbol" w:hint="default"/>
      </w:rPr>
    </w:lvl>
    <w:lvl w:ilvl="8">
      <w:start w:val="1"/>
      <w:numFmt w:val="bullet"/>
      <w:pStyle w:val="Bulleted9"/>
      <w:lvlText w:val=""/>
      <w:lvlJc w:val="left"/>
      <w:pPr>
        <w:ind w:left="6480" w:hanging="720"/>
      </w:pPr>
      <w:rPr>
        <w:rFonts w:ascii="Symbol" w:hAnsi="Symbol" w:hint="default"/>
      </w:rPr>
    </w:lvl>
  </w:abstractNum>
  <w:abstractNum w:abstractNumId="24" w15:restartNumberingAfterBreak="0">
    <w:nsid w:val="68CB039F"/>
    <w:multiLevelType w:val="hybridMultilevel"/>
    <w:tmpl w:val="0428C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6066B2"/>
    <w:multiLevelType w:val="hybridMultilevel"/>
    <w:tmpl w:val="DB469DA4"/>
    <w:lvl w:ilvl="0" w:tplc="A8A41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B78E5"/>
    <w:multiLevelType w:val="hybridMultilevel"/>
    <w:tmpl w:val="6CF2EB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3"/>
  </w:num>
  <w:num w:numId="14">
    <w:abstractNumId w:val="13"/>
  </w:num>
  <w:num w:numId="15">
    <w:abstractNumId w:val="16"/>
    <w:lvlOverride w:ilvl="0">
      <w:startOverride w:val="1"/>
    </w:lvlOverride>
  </w:num>
  <w:num w:numId="16">
    <w:abstractNumId w:val="14"/>
  </w:num>
  <w:num w:numId="17">
    <w:abstractNumId w:val="26"/>
  </w:num>
  <w:num w:numId="18">
    <w:abstractNumId w:val="15"/>
  </w:num>
  <w:num w:numId="19">
    <w:abstractNumId w:val="18"/>
  </w:num>
  <w:num w:numId="20">
    <w:abstractNumId w:val="10"/>
  </w:num>
  <w:num w:numId="21">
    <w:abstractNumId w:val="24"/>
  </w:num>
  <w:num w:numId="22">
    <w:abstractNumId w:val="20"/>
  </w:num>
  <w:num w:numId="23">
    <w:abstractNumId w:val="17"/>
  </w:num>
  <w:num w:numId="24">
    <w:abstractNumId w:val="22"/>
  </w:num>
  <w:num w:numId="25">
    <w:abstractNumId w:val="25"/>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DE"/>
    <w:rsid w:val="00006A81"/>
    <w:rsid w:val="000428BA"/>
    <w:rsid w:val="0006189F"/>
    <w:rsid w:val="0007573B"/>
    <w:rsid w:val="00077267"/>
    <w:rsid w:val="00091C73"/>
    <w:rsid w:val="00094712"/>
    <w:rsid w:val="000951AC"/>
    <w:rsid w:val="000A0712"/>
    <w:rsid w:val="000A16A0"/>
    <w:rsid w:val="000A5175"/>
    <w:rsid w:val="000A723E"/>
    <w:rsid w:val="000A7AA5"/>
    <w:rsid w:val="000B2DEF"/>
    <w:rsid w:val="000B603C"/>
    <w:rsid w:val="000D3216"/>
    <w:rsid w:val="000E7ABB"/>
    <w:rsid w:val="001061C3"/>
    <w:rsid w:val="00107DEF"/>
    <w:rsid w:val="001111D7"/>
    <w:rsid w:val="0011232D"/>
    <w:rsid w:val="0011681B"/>
    <w:rsid w:val="00125384"/>
    <w:rsid w:val="0015103E"/>
    <w:rsid w:val="00155741"/>
    <w:rsid w:val="00160F7B"/>
    <w:rsid w:val="001835DC"/>
    <w:rsid w:val="0018375E"/>
    <w:rsid w:val="0018482E"/>
    <w:rsid w:val="0018776F"/>
    <w:rsid w:val="00192EC1"/>
    <w:rsid w:val="001A0B20"/>
    <w:rsid w:val="001A18C1"/>
    <w:rsid w:val="001A1A19"/>
    <w:rsid w:val="001A2054"/>
    <w:rsid w:val="001A622C"/>
    <w:rsid w:val="001B3222"/>
    <w:rsid w:val="001B78B3"/>
    <w:rsid w:val="001C43F6"/>
    <w:rsid w:val="001E2A88"/>
    <w:rsid w:val="001E642C"/>
    <w:rsid w:val="0020625C"/>
    <w:rsid w:val="00215EBB"/>
    <w:rsid w:val="00216CD7"/>
    <w:rsid w:val="00216FDE"/>
    <w:rsid w:val="00236595"/>
    <w:rsid w:val="00250653"/>
    <w:rsid w:val="00255B6E"/>
    <w:rsid w:val="00263AB9"/>
    <w:rsid w:val="00263F2B"/>
    <w:rsid w:val="0027191B"/>
    <w:rsid w:val="002738D5"/>
    <w:rsid w:val="002823FC"/>
    <w:rsid w:val="00293DBE"/>
    <w:rsid w:val="002960F0"/>
    <w:rsid w:val="002964F9"/>
    <w:rsid w:val="002B4AE6"/>
    <w:rsid w:val="002B71D6"/>
    <w:rsid w:val="002C47E1"/>
    <w:rsid w:val="002F5B60"/>
    <w:rsid w:val="002F5D32"/>
    <w:rsid w:val="002F6C98"/>
    <w:rsid w:val="003113E2"/>
    <w:rsid w:val="00340BF3"/>
    <w:rsid w:val="003439C5"/>
    <w:rsid w:val="003517D0"/>
    <w:rsid w:val="00355B4C"/>
    <w:rsid w:val="00363823"/>
    <w:rsid w:val="00366BA2"/>
    <w:rsid w:val="003672A5"/>
    <w:rsid w:val="00386416"/>
    <w:rsid w:val="003A4993"/>
    <w:rsid w:val="003B0250"/>
    <w:rsid w:val="003C2481"/>
    <w:rsid w:val="003D0F74"/>
    <w:rsid w:val="003D78C7"/>
    <w:rsid w:val="003F0CDE"/>
    <w:rsid w:val="00403320"/>
    <w:rsid w:val="004166D3"/>
    <w:rsid w:val="00440FB2"/>
    <w:rsid w:val="004623C0"/>
    <w:rsid w:val="00463343"/>
    <w:rsid w:val="00485C2D"/>
    <w:rsid w:val="0049139D"/>
    <w:rsid w:val="00496E72"/>
    <w:rsid w:val="00497276"/>
    <w:rsid w:val="004A64BD"/>
    <w:rsid w:val="004B6548"/>
    <w:rsid w:val="004B6B9E"/>
    <w:rsid w:val="004D5F8F"/>
    <w:rsid w:val="004E5290"/>
    <w:rsid w:val="004E592B"/>
    <w:rsid w:val="004E5CE9"/>
    <w:rsid w:val="00510673"/>
    <w:rsid w:val="0051650D"/>
    <w:rsid w:val="00517EDB"/>
    <w:rsid w:val="005335FA"/>
    <w:rsid w:val="00562475"/>
    <w:rsid w:val="00565825"/>
    <w:rsid w:val="00583ACF"/>
    <w:rsid w:val="00585F38"/>
    <w:rsid w:val="005B4319"/>
    <w:rsid w:val="005C0205"/>
    <w:rsid w:val="005C5047"/>
    <w:rsid w:val="005D46B1"/>
    <w:rsid w:val="005D5CAF"/>
    <w:rsid w:val="005E1181"/>
    <w:rsid w:val="005F6ADE"/>
    <w:rsid w:val="005F7F48"/>
    <w:rsid w:val="00602933"/>
    <w:rsid w:val="00605E2D"/>
    <w:rsid w:val="0060716D"/>
    <w:rsid w:val="006075AA"/>
    <w:rsid w:val="00635092"/>
    <w:rsid w:val="00642C79"/>
    <w:rsid w:val="0064639F"/>
    <w:rsid w:val="0066007E"/>
    <w:rsid w:val="00662C30"/>
    <w:rsid w:val="00664BA9"/>
    <w:rsid w:val="00672DE0"/>
    <w:rsid w:val="00674476"/>
    <w:rsid w:val="00682A71"/>
    <w:rsid w:val="006A1FD9"/>
    <w:rsid w:val="006A70C8"/>
    <w:rsid w:val="006B539D"/>
    <w:rsid w:val="006C1EAE"/>
    <w:rsid w:val="006C22B9"/>
    <w:rsid w:val="006C3EE8"/>
    <w:rsid w:val="006D5C47"/>
    <w:rsid w:val="006F334C"/>
    <w:rsid w:val="006F4520"/>
    <w:rsid w:val="00714C51"/>
    <w:rsid w:val="00714C96"/>
    <w:rsid w:val="00716A73"/>
    <w:rsid w:val="0072181D"/>
    <w:rsid w:val="00733BAA"/>
    <w:rsid w:val="00743F4E"/>
    <w:rsid w:val="00751801"/>
    <w:rsid w:val="007A1967"/>
    <w:rsid w:val="007A6D6B"/>
    <w:rsid w:val="007C1E11"/>
    <w:rsid w:val="007D2993"/>
    <w:rsid w:val="007D51E2"/>
    <w:rsid w:val="00812E21"/>
    <w:rsid w:val="00813AC2"/>
    <w:rsid w:val="0082280A"/>
    <w:rsid w:val="008311C7"/>
    <w:rsid w:val="00844694"/>
    <w:rsid w:val="00846EBD"/>
    <w:rsid w:val="00863331"/>
    <w:rsid w:val="008652CA"/>
    <w:rsid w:val="008748F1"/>
    <w:rsid w:val="00883B2C"/>
    <w:rsid w:val="00896435"/>
    <w:rsid w:val="008A0DF8"/>
    <w:rsid w:val="008A7140"/>
    <w:rsid w:val="008B0725"/>
    <w:rsid w:val="008C01F4"/>
    <w:rsid w:val="008C3B8B"/>
    <w:rsid w:val="008F215D"/>
    <w:rsid w:val="00906C50"/>
    <w:rsid w:val="009139F5"/>
    <w:rsid w:val="00922E84"/>
    <w:rsid w:val="009309E7"/>
    <w:rsid w:val="009315EE"/>
    <w:rsid w:val="00944C4F"/>
    <w:rsid w:val="009608B1"/>
    <w:rsid w:val="0098250F"/>
    <w:rsid w:val="00985F0F"/>
    <w:rsid w:val="00993FFA"/>
    <w:rsid w:val="009A22A3"/>
    <w:rsid w:val="009A76B2"/>
    <w:rsid w:val="009B6EC3"/>
    <w:rsid w:val="009C36F1"/>
    <w:rsid w:val="009D3642"/>
    <w:rsid w:val="009D4892"/>
    <w:rsid w:val="009D7D58"/>
    <w:rsid w:val="009E5090"/>
    <w:rsid w:val="009F2F95"/>
    <w:rsid w:val="00A0242C"/>
    <w:rsid w:val="00A123A7"/>
    <w:rsid w:val="00A157A7"/>
    <w:rsid w:val="00A3041C"/>
    <w:rsid w:val="00A34A7D"/>
    <w:rsid w:val="00A35F51"/>
    <w:rsid w:val="00A367D5"/>
    <w:rsid w:val="00A36DEE"/>
    <w:rsid w:val="00A439B9"/>
    <w:rsid w:val="00A54807"/>
    <w:rsid w:val="00A6162D"/>
    <w:rsid w:val="00A64543"/>
    <w:rsid w:val="00A73C93"/>
    <w:rsid w:val="00A93668"/>
    <w:rsid w:val="00A9406A"/>
    <w:rsid w:val="00A960C9"/>
    <w:rsid w:val="00A963A7"/>
    <w:rsid w:val="00AA3404"/>
    <w:rsid w:val="00AE202F"/>
    <w:rsid w:val="00AF1045"/>
    <w:rsid w:val="00B0059F"/>
    <w:rsid w:val="00B13C93"/>
    <w:rsid w:val="00B21974"/>
    <w:rsid w:val="00B344A8"/>
    <w:rsid w:val="00BB02DE"/>
    <w:rsid w:val="00BC6220"/>
    <w:rsid w:val="00BD4656"/>
    <w:rsid w:val="00BE2B61"/>
    <w:rsid w:val="00BE592E"/>
    <w:rsid w:val="00BF0853"/>
    <w:rsid w:val="00C20867"/>
    <w:rsid w:val="00C21872"/>
    <w:rsid w:val="00C25A42"/>
    <w:rsid w:val="00C332B5"/>
    <w:rsid w:val="00C504D9"/>
    <w:rsid w:val="00C520E9"/>
    <w:rsid w:val="00C53F5E"/>
    <w:rsid w:val="00C610BA"/>
    <w:rsid w:val="00C61D34"/>
    <w:rsid w:val="00C6553C"/>
    <w:rsid w:val="00C72972"/>
    <w:rsid w:val="00C73327"/>
    <w:rsid w:val="00C8270F"/>
    <w:rsid w:val="00C836C4"/>
    <w:rsid w:val="00C879A2"/>
    <w:rsid w:val="00C91D07"/>
    <w:rsid w:val="00C946DE"/>
    <w:rsid w:val="00C96230"/>
    <w:rsid w:val="00CA4979"/>
    <w:rsid w:val="00CA67C3"/>
    <w:rsid w:val="00CE2DA7"/>
    <w:rsid w:val="00CE54D4"/>
    <w:rsid w:val="00D019A0"/>
    <w:rsid w:val="00D06F3D"/>
    <w:rsid w:val="00D075F2"/>
    <w:rsid w:val="00D10033"/>
    <w:rsid w:val="00D12DD6"/>
    <w:rsid w:val="00D14955"/>
    <w:rsid w:val="00D275C6"/>
    <w:rsid w:val="00D3226B"/>
    <w:rsid w:val="00D36277"/>
    <w:rsid w:val="00D50B39"/>
    <w:rsid w:val="00D5181E"/>
    <w:rsid w:val="00D62ABE"/>
    <w:rsid w:val="00D65A11"/>
    <w:rsid w:val="00D66974"/>
    <w:rsid w:val="00D71A26"/>
    <w:rsid w:val="00D74F73"/>
    <w:rsid w:val="00D8747B"/>
    <w:rsid w:val="00D878A8"/>
    <w:rsid w:val="00D933ED"/>
    <w:rsid w:val="00D94367"/>
    <w:rsid w:val="00DB7194"/>
    <w:rsid w:val="00DB741E"/>
    <w:rsid w:val="00DD0AF6"/>
    <w:rsid w:val="00DE2FAD"/>
    <w:rsid w:val="00E07C5A"/>
    <w:rsid w:val="00E12DC6"/>
    <w:rsid w:val="00E12F53"/>
    <w:rsid w:val="00E20C4E"/>
    <w:rsid w:val="00E21E20"/>
    <w:rsid w:val="00E22A78"/>
    <w:rsid w:val="00E24993"/>
    <w:rsid w:val="00E32FC9"/>
    <w:rsid w:val="00E3368A"/>
    <w:rsid w:val="00E3477D"/>
    <w:rsid w:val="00E366D2"/>
    <w:rsid w:val="00E70FE3"/>
    <w:rsid w:val="00E81ED1"/>
    <w:rsid w:val="00E84815"/>
    <w:rsid w:val="00E85D0B"/>
    <w:rsid w:val="00ED1836"/>
    <w:rsid w:val="00EE2D1F"/>
    <w:rsid w:val="00EE35C1"/>
    <w:rsid w:val="00EF3365"/>
    <w:rsid w:val="00EF337D"/>
    <w:rsid w:val="00F02477"/>
    <w:rsid w:val="00F102BC"/>
    <w:rsid w:val="00F221AF"/>
    <w:rsid w:val="00F333C0"/>
    <w:rsid w:val="00F375B6"/>
    <w:rsid w:val="00F41A8B"/>
    <w:rsid w:val="00F42F53"/>
    <w:rsid w:val="00F52A35"/>
    <w:rsid w:val="00F64C01"/>
    <w:rsid w:val="00F76413"/>
    <w:rsid w:val="00F81062"/>
    <w:rsid w:val="00FA07CB"/>
    <w:rsid w:val="00FB1809"/>
    <w:rsid w:val="00FD0A5B"/>
    <w:rsid w:val="00FE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7F664"/>
  <w15:chartTrackingRefBased/>
  <w15:docId w15:val="{5E3C7765-F67E-4EF8-9A76-D7E754D1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lsdException w:name="Body Text Indent 2" w:uiPriority="0" w:semiHidden="1" w:unhideWhenUsed="1" w:qFormat="1"/>
    <w:lsdException w:name="Body Text Indent 3" w:uiPriority="0"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2823FC"/>
  </w:style>
  <w:style w:type="paragraph" w:styleId="Heading1">
    <w:name w:val="heading 1"/>
    <w:basedOn w:val="Normal"/>
    <w:next w:val="Normal"/>
    <w:link w:val="Heading1Char"/>
    <w:uiPriority w:val="9"/>
    <w:rsid w:val="00A123A7"/>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rsid w:val="00A123A7"/>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123A7"/>
    <w:pPr>
      <w:keepNext/>
      <w:keepLines/>
      <w:ind w:left="7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A123A7"/>
    <w:pPr>
      <w:keepNext/>
      <w:keepLines/>
      <w:ind w:left="720"/>
      <w:outlineLvl w:val="3"/>
    </w:pPr>
    <w:rPr>
      <w:rFonts w:eastAsiaTheme="majorEastAsia" w:cstheme="majorBidi"/>
      <w:bCs/>
      <w:i/>
      <w:iCs/>
    </w:rPr>
  </w:style>
  <w:style w:type="paragraph" w:styleId="Heading5">
    <w:name w:val="heading 5"/>
    <w:basedOn w:val="Normal"/>
    <w:next w:val="Normal"/>
    <w:link w:val="Heading5Char"/>
    <w:uiPriority w:val="9"/>
    <w:semiHidden/>
    <w:unhideWhenUsed/>
    <w:rsid w:val="0027191B"/>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rsid w:val="0027191B"/>
    <w:pPr>
      <w:keepNext/>
      <w:keepLines/>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27191B"/>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9E5090"/>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rsid w:val="0027191B"/>
    <w:pPr>
      <w:keepNext/>
      <w:keepLines/>
      <w:outlineLvl w:val="8"/>
    </w:pPr>
    <w:rPr>
      <w:rFonts w:eastAsiaTheme="majorEastAsia" w:cstheme="majorBidi"/>
      <w: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123A7"/>
    <w:rPr>
      <w:rFonts w:eastAsiaTheme="majorEastAsia" w:cstheme="majorBidi"/>
      <w:b/>
      <w:bCs/>
      <w:szCs w:val="28"/>
    </w:rPr>
  </w:style>
  <w:style w:type="character" w:styleId="Heading4Char" w:customStyle="1">
    <w:name w:val="Heading 4 Char"/>
    <w:basedOn w:val="DefaultParagraphFont"/>
    <w:link w:val="Heading4"/>
    <w:uiPriority w:val="9"/>
    <w:semiHidden/>
    <w:rsid w:val="00A123A7"/>
    <w:rPr>
      <w:rFonts w:eastAsiaTheme="majorEastAsia" w:cstheme="majorBidi"/>
      <w:bCs/>
      <w:i/>
      <w:iCs/>
    </w:rPr>
  </w:style>
  <w:style w:type="character" w:styleId="Heading2Char" w:customStyle="1">
    <w:name w:val="Heading 2 Char"/>
    <w:basedOn w:val="DefaultParagraphFont"/>
    <w:link w:val="Heading2"/>
    <w:uiPriority w:val="9"/>
    <w:rsid w:val="00A123A7"/>
    <w:rPr>
      <w:rFonts w:eastAsiaTheme="majorEastAsia" w:cstheme="majorBidi"/>
      <w:b/>
      <w:bCs/>
      <w:szCs w:val="26"/>
    </w:rPr>
  </w:style>
  <w:style w:type="character" w:styleId="Heading3Char" w:customStyle="1">
    <w:name w:val="Heading 3 Char"/>
    <w:basedOn w:val="DefaultParagraphFont"/>
    <w:link w:val="Heading3"/>
    <w:uiPriority w:val="9"/>
    <w:rsid w:val="00A123A7"/>
    <w:rPr>
      <w:rFonts w:eastAsiaTheme="majorEastAsia" w:cstheme="majorBidi"/>
      <w:b/>
      <w:bCs/>
    </w:rPr>
  </w:style>
  <w:style w:type="paragraph" w:styleId="TOCHeading">
    <w:name w:val="TOC Heading"/>
    <w:basedOn w:val="Normal"/>
    <w:next w:val="Normal"/>
    <w:uiPriority w:val="39"/>
    <w:unhideWhenUsed/>
    <w:qFormat/>
    <w:rsid w:val="006A1FD9"/>
    <w:pPr>
      <w:keepNext/>
      <w:jc w:val="center"/>
    </w:pPr>
  </w:style>
  <w:style w:type="paragraph" w:styleId="TOC2">
    <w:name w:val="toc 2"/>
    <w:basedOn w:val="Normal"/>
    <w:next w:val="Normal"/>
    <w:autoRedefine/>
    <w:uiPriority w:val="39"/>
    <w:semiHidden/>
    <w:unhideWhenUsed/>
    <w:rsid w:val="00FD0A5B"/>
    <w:pPr>
      <w:tabs>
        <w:tab w:val="right" w:leader="dot" w:pos="9360"/>
      </w:tabs>
      <w:ind w:left="720" w:right="720"/>
    </w:pPr>
  </w:style>
  <w:style w:type="paragraph" w:styleId="TOC3">
    <w:name w:val="toc 3"/>
    <w:basedOn w:val="Normal"/>
    <w:next w:val="Normal"/>
    <w:autoRedefine/>
    <w:uiPriority w:val="39"/>
    <w:semiHidden/>
    <w:unhideWhenUsed/>
    <w:rsid w:val="00FD0A5B"/>
    <w:pPr>
      <w:tabs>
        <w:tab w:val="right" w:leader="dot" w:pos="9360"/>
      </w:tabs>
      <w:ind w:left="1440" w:right="720"/>
    </w:pPr>
  </w:style>
  <w:style w:type="character" w:styleId="Hyperlink">
    <w:name w:val="Hyperlink"/>
    <w:basedOn w:val="DefaultParagraphFont"/>
    <w:uiPriority w:val="99"/>
    <w:unhideWhenUsed/>
    <w:rsid w:val="00AE202F"/>
    <w:rPr>
      <w:color w:val="0000FF" w:themeColor="hyperlink"/>
      <w:u w:val="single"/>
    </w:rPr>
  </w:style>
  <w:style w:type="paragraph" w:styleId="BlockText">
    <w:name w:val="Block Text"/>
    <w:basedOn w:val="Normal"/>
    <w:uiPriority w:val="1"/>
    <w:qFormat/>
    <w:rsid w:val="00B0059F"/>
    <w:pPr>
      <w:ind w:left="720" w:right="720"/>
      <w:jc w:val="both"/>
    </w:pPr>
    <w:rPr>
      <w:rFonts w:eastAsia="Times New Roman" w:cs="Times New Roman"/>
    </w:rPr>
  </w:style>
  <w:style w:type="paragraph" w:styleId="BodyText">
    <w:name w:val="Body Text"/>
    <w:aliases w:val="Body"/>
    <w:basedOn w:val="Normal"/>
    <w:link w:val="BodyTextChar"/>
    <w:qFormat/>
    <w:rsid w:val="009A22A3"/>
    <w:pPr>
      <w:jc w:val="both"/>
    </w:pPr>
    <w:rPr>
      <w:rFonts w:eastAsia="Times New Roman" w:cs="Times New Roman"/>
    </w:rPr>
  </w:style>
  <w:style w:type="character" w:styleId="BodyTextChar" w:customStyle="1">
    <w:name w:val="Body Text Char"/>
    <w:aliases w:val="Body Char"/>
    <w:basedOn w:val="DefaultParagraphFont"/>
    <w:link w:val="BodyText"/>
    <w:rsid w:val="009A22A3"/>
    <w:rPr>
      <w:rFonts w:eastAsia="Times New Roman" w:cs="Times New Roman"/>
    </w:rPr>
  </w:style>
  <w:style w:type="paragraph" w:styleId="BodyText15" w:customStyle="1">
    <w:name w:val="Body Text 1.5"/>
    <w:aliases w:val="Body_1.5"/>
    <w:basedOn w:val="Normal"/>
    <w:rsid w:val="009A22A3"/>
    <w:pPr>
      <w:spacing w:after="0" w:line="360" w:lineRule="auto"/>
      <w:jc w:val="both"/>
    </w:pPr>
    <w:rPr>
      <w:rFonts w:eastAsia="Times New Roman" w:cs="Times New Roman"/>
    </w:rPr>
  </w:style>
  <w:style w:type="paragraph" w:styleId="BodyText2">
    <w:name w:val="Body Text 2"/>
    <w:aliases w:val="Body_2"/>
    <w:basedOn w:val="Normal"/>
    <w:link w:val="BodyText2Char"/>
    <w:qFormat/>
    <w:rsid w:val="009A22A3"/>
    <w:pPr>
      <w:spacing w:after="0" w:line="480" w:lineRule="auto"/>
      <w:jc w:val="both"/>
    </w:pPr>
    <w:rPr>
      <w:rFonts w:eastAsia="Times New Roman" w:cs="Times New Roman"/>
    </w:rPr>
  </w:style>
  <w:style w:type="character" w:styleId="BodyText2Char" w:customStyle="1">
    <w:name w:val="Body Text 2 Char"/>
    <w:aliases w:val="Body_2 Char"/>
    <w:basedOn w:val="DefaultParagraphFont"/>
    <w:link w:val="BodyText2"/>
    <w:rsid w:val="009A22A3"/>
    <w:rPr>
      <w:rFonts w:eastAsia="Times New Roman" w:cs="Times New Roman"/>
    </w:rPr>
  </w:style>
  <w:style w:type="paragraph" w:styleId="BodyTextFirstIndent">
    <w:name w:val="Body Text First Indent"/>
    <w:aliases w:val="Body_FI"/>
    <w:basedOn w:val="Normal"/>
    <w:link w:val="BodyTextFirstIndentChar"/>
    <w:qFormat/>
    <w:rsid w:val="00E84815"/>
    <w:pPr>
      <w:ind w:firstLine="720"/>
      <w:jc w:val="both"/>
    </w:pPr>
  </w:style>
  <w:style w:type="character" w:styleId="BodyTextFirstIndentChar" w:customStyle="1">
    <w:name w:val="Body Text First Indent Char"/>
    <w:aliases w:val="Body_FI Char"/>
    <w:basedOn w:val="BodyTextChar"/>
    <w:link w:val="BodyTextFirstIndent"/>
    <w:rsid w:val="00E84815"/>
    <w:rPr>
      <w:rFonts w:eastAsia="Times New Roman" w:cs="Times New Roman"/>
    </w:rPr>
  </w:style>
  <w:style w:type="paragraph" w:styleId="BodyTextFirstIndent15" w:customStyle="1">
    <w:name w:val="Body Text First Indent 1.5"/>
    <w:aliases w:val="Body_FI_1.5"/>
    <w:basedOn w:val="Normal"/>
    <w:rsid w:val="00B0059F"/>
    <w:pPr>
      <w:spacing w:after="0" w:line="360" w:lineRule="auto"/>
      <w:ind w:firstLine="720"/>
      <w:jc w:val="both"/>
    </w:pPr>
    <w:rPr>
      <w:rFonts w:eastAsia="Times New Roman" w:cs="Times New Roman"/>
    </w:rPr>
  </w:style>
  <w:style w:type="paragraph" w:styleId="BodyTextIndent">
    <w:name w:val="Body Text Indent"/>
    <w:aliases w:val="Body_Ind"/>
    <w:basedOn w:val="Normal"/>
    <w:link w:val="BodyTextIndentChar"/>
    <w:qFormat/>
    <w:rsid w:val="00B0059F"/>
    <w:pPr>
      <w:ind w:left="720"/>
      <w:jc w:val="both"/>
    </w:pPr>
    <w:rPr>
      <w:rFonts w:eastAsia="Times New Roman" w:cs="Times New Roman"/>
    </w:rPr>
  </w:style>
  <w:style w:type="character" w:styleId="BodyTextIndentChar" w:customStyle="1">
    <w:name w:val="Body Text Indent Char"/>
    <w:aliases w:val="Body_Ind Char"/>
    <w:basedOn w:val="DefaultParagraphFont"/>
    <w:link w:val="BodyTextIndent"/>
    <w:rsid w:val="00B0059F"/>
    <w:rPr>
      <w:rFonts w:eastAsia="Times New Roman" w:cs="Times New Roman"/>
    </w:rPr>
  </w:style>
  <w:style w:type="paragraph" w:styleId="BodyTextFirstIndent2">
    <w:name w:val="Body Text First Indent 2"/>
    <w:aliases w:val="Body_FI_2"/>
    <w:basedOn w:val="Normal"/>
    <w:link w:val="BodyTextFirstIndent2Char"/>
    <w:qFormat/>
    <w:rsid w:val="00E84815"/>
    <w:pPr>
      <w:spacing w:after="0" w:line="480" w:lineRule="auto"/>
      <w:ind w:firstLine="720"/>
      <w:jc w:val="both"/>
    </w:pPr>
  </w:style>
  <w:style w:type="character" w:styleId="BodyTextFirstIndent2Char" w:customStyle="1">
    <w:name w:val="Body Text First Indent 2 Char"/>
    <w:aliases w:val="Body_FI_2 Char"/>
    <w:basedOn w:val="BodyTextIndentChar"/>
    <w:link w:val="BodyTextFirstIndent2"/>
    <w:rsid w:val="00E84815"/>
    <w:rPr>
      <w:rFonts w:eastAsia="Times New Roman" w:cs="Times New Roman"/>
    </w:rPr>
  </w:style>
  <w:style w:type="paragraph" w:styleId="BodyTextIndent15" w:customStyle="1">
    <w:name w:val="Body Text Indent 1.5"/>
    <w:aliases w:val="Body_Ind_1.5"/>
    <w:basedOn w:val="Normal"/>
    <w:rsid w:val="00B0059F"/>
    <w:pPr>
      <w:spacing w:after="0" w:line="360" w:lineRule="auto"/>
      <w:ind w:left="720"/>
      <w:jc w:val="both"/>
    </w:pPr>
    <w:rPr>
      <w:rFonts w:eastAsia="Times New Roman" w:cs="Times New Roman"/>
    </w:rPr>
  </w:style>
  <w:style w:type="paragraph" w:styleId="BodyTextIndent2">
    <w:name w:val="Body Text Indent 2"/>
    <w:aliases w:val="Body_Ind2"/>
    <w:basedOn w:val="Normal"/>
    <w:link w:val="BodyTextIndent2Char"/>
    <w:qFormat/>
    <w:rsid w:val="00B0059F"/>
    <w:pPr>
      <w:spacing w:after="0" w:line="480" w:lineRule="auto"/>
      <w:ind w:left="720"/>
      <w:jc w:val="both"/>
    </w:pPr>
    <w:rPr>
      <w:rFonts w:eastAsia="Times New Roman" w:cs="Times New Roman"/>
    </w:rPr>
  </w:style>
  <w:style w:type="character" w:styleId="BodyTextIndent2Char" w:customStyle="1">
    <w:name w:val="Body Text Indent 2 Char"/>
    <w:aliases w:val="Body_Ind2 Char"/>
    <w:basedOn w:val="DefaultParagraphFont"/>
    <w:link w:val="BodyTextIndent2"/>
    <w:rsid w:val="00B0059F"/>
    <w:rPr>
      <w:rFonts w:eastAsia="Times New Roman" w:cs="Times New Roman"/>
    </w:rPr>
  </w:style>
  <w:style w:type="paragraph" w:styleId="EnvelopeReturn">
    <w:name w:val="envelope return"/>
    <w:basedOn w:val="Normal"/>
    <w:uiPriority w:val="99"/>
    <w:semiHidden/>
    <w:unhideWhenUsed/>
    <w:rsid w:val="00A123A7"/>
    <w:pPr>
      <w:spacing w:after="0"/>
    </w:pPr>
    <w:rPr>
      <w:rFonts w:eastAsiaTheme="majorEastAsia" w:cstheme="majorBidi"/>
      <w:sz w:val="16"/>
      <w:szCs w:val="20"/>
    </w:rPr>
  </w:style>
  <w:style w:type="paragraph" w:styleId="Center" w:customStyle="1">
    <w:name w:val="Center"/>
    <w:aliases w:val="Ctr"/>
    <w:basedOn w:val="Normal"/>
    <w:uiPriority w:val="4"/>
    <w:qFormat/>
    <w:rsid w:val="00A963A7"/>
    <w:pPr>
      <w:keepNext/>
      <w:jc w:val="center"/>
      <w:outlineLvl w:val="0"/>
    </w:pPr>
  </w:style>
  <w:style w:type="paragraph" w:styleId="CenterCapsBold" w:customStyle="1">
    <w:name w:val="Center Caps Bold"/>
    <w:aliases w:val="Ctr_CapB"/>
    <w:basedOn w:val="Normal"/>
    <w:next w:val="BodyText"/>
    <w:uiPriority w:val="4"/>
    <w:qFormat/>
    <w:rsid w:val="00A963A7"/>
    <w:pPr>
      <w:keepNext/>
      <w:jc w:val="center"/>
      <w:outlineLvl w:val="0"/>
    </w:pPr>
    <w:rPr>
      <w:b/>
      <w:caps/>
    </w:rPr>
  </w:style>
  <w:style w:type="paragraph" w:styleId="CenterCapsBoldUnd" w:customStyle="1">
    <w:name w:val="Center Caps Bold Und"/>
    <w:aliases w:val="Ctr_CapBU"/>
    <w:basedOn w:val="Normal"/>
    <w:next w:val="BodyText"/>
    <w:uiPriority w:val="4"/>
    <w:qFormat/>
    <w:rsid w:val="00A963A7"/>
    <w:pPr>
      <w:keepNext/>
      <w:jc w:val="center"/>
      <w:outlineLvl w:val="0"/>
    </w:pPr>
    <w:rPr>
      <w:b/>
      <w:caps/>
      <w:u w:val="single"/>
    </w:rPr>
  </w:style>
  <w:style w:type="paragraph" w:styleId="Closing">
    <w:name w:val="Closing"/>
    <w:basedOn w:val="Normal"/>
    <w:link w:val="ClosingChar"/>
    <w:uiPriority w:val="99"/>
    <w:semiHidden/>
    <w:unhideWhenUsed/>
    <w:qFormat/>
    <w:rsid w:val="00A963A7"/>
    <w:pPr>
      <w:spacing w:after="0"/>
      <w:ind w:left="4680"/>
    </w:pPr>
  </w:style>
  <w:style w:type="character" w:styleId="ClosingChar" w:customStyle="1">
    <w:name w:val="Closing Char"/>
    <w:basedOn w:val="DefaultParagraphFont"/>
    <w:link w:val="Closing"/>
    <w:uiPriority w:val="99"/>
    <w:semiHidden/>
    <w:rsid w:val="00A963A7"/>
  </w:style>
  <w:style w:type="character" w:styleId="Heading5Char" w:customStyle="1">
    <w:name w:val="Heading 5 Char"/>
    <w:basedOn w:val="DefaultParagraphFont"/>
    <w:link w:val="Heading5"/>
    <w:uiPriority w:val="9"/>
    <w:semiHidden/>
    <w:rsid w:val="0027191B"/>
    <w:rPr>
      <w:rFonts w:eastAsiaTheme="majorEastAsia" w:cstheme="majorBidi"/>
    </w:rPr>
  </w:style>
  <w:style w:type="paragraph" w:styleId="FlushRt" w:customStyle="1">
    <w:name w:val="Flush Rt"/>
    <w:basedOn w:val="Normal"/>
    <w:qFormat/>
    <w:rsid w:val="00A123A7"/>
    <w:pPr>
      <w:jc w:val="right"/>
    </w:pPr>
  </w:style>
  <w:style w:type="character" w:styleId="Heading6Char" w:customStyle="1">
    <w:name w:val="Heading 6 Char"/>
    <w:basedOn w:val="DefaultParagraphFont"/>
    <w:link w:val="Heading6"/>
    <w:uiPriority w:val="9"/>
    <w:semiHidden/>
    <w:rsid w:val="0027191B"/>
    <w:rPr>
      <w:rFonts w:eastAsiaTheme="majorEastAsia" w:cstheme="majorBidi"/>
      <w:i/>
      <w:iCs/>
    </w:rPr>
  </w:style>
  <w:style w:type="character" w:styleId="Heading7Char" w:customStyle="1">
    <w:name w:val="Heading 7 Char"/>
    <w:basedOn w:val="DefaultParagraphFont"/>
    <w:link w:val="Heading7"/>
    <w:uiPriority w:val="9"/>
    <w:semiHidden/>
    <w:rsid w:val="0027191B"/>
    <w:rPr>
      <w:rFonts w:eastAsiaTheme="majorEastAsia" w:cstheme="majorBidi"/>
      <w:i/>
      <w:iCs/>
    </w:rPr>
  </w:style>
  <w:style w:type="character" w:styleId="Heading8Char" w:customStyle="1">
    <w:name w:val="Heading 8 Char"/>
    <w:basedOn w:val="DefaultParagraphFont"/>
    <w:link w:val="Heading8"/>
    <w:uiPriority w:val="9"/>
    <w:semiHidden/>
    <w:rsid w:val="009E5090"/>
    <w:rPr>
      <w:rFonts w:eastAsiaTheme="majorEastAsia" w:cstheme="majorBidi"/>
      <w:szCs w:val="20"/>
    </w:rPr>
  </w:style>
  <w:style w:type="character" w:styleId="Heading9Char" w:customStyle="1">
    <w:name w:val="Heading 9 Char"/>
    <w:basedOn w:val="DefaultParagraphFont"/>
    <w:link w:val="Heading9"/>
    <w:uiPriority w:val="9"/>
    <w:semiHidden/>
    <w:rsid w:val="0027191B"/>
    <w:rPr>
      <w:rFonts w:eastAsiaTheme="majorEastAsia" w:cstheme="majorBidi"/>
      <w:i/>
      <w:iCs/>
      <w:szCs w:val="20"/>
    </w:rPr>
  </w:style>
  <w:style w:type="paragraph" w:styleId="Index1">
    <w:name w:val="index 1"/>
    <w:basedOn w:val="Normal"/>
    <w:next w:val="Normal"/>
    <w:autoRedefine/>
    <w:uiPriority w:val="99"/>
    <w:semiHidden/>
    <w:unhideWhenUsed/>
    <w:rsid w:val="009309E7"/>
    <w:pPr>
      <w:spacing w:after="0"/>
      <w:ind w:left="240" w:hanging="240"/>
    </w:pPr>
  </w:style>
  <w:style w:type="paragraph" w:styleId="IndexHeading">
    <w:name w:val="index heading"/>
    <w:basedOn w:val="Normal"/>
    <w:next w:val="Index1"/>
    <w:uiPriority w:val="99"/>
    <w:semiHidden/>
    <w:unhideWhenUsed/>
    <w:rsid w:val="009309E7"/>
    <w:rPr>
      <w:rFonts w:eastAsiaTheme="majorEastAsia" w:cstheme="majorBidi"/>
      <w:b/>
      <w:bCs/>
    </w:rPr>
  </w:style>
  <w:style w:type="character" w:styleId="IntenseEmphasis">
    <w:name w:val="Intense Emphasis"/>
    <w:basedOn w:val="DefaultParagraphFont"/>
    <w:uiPriority w:val="21"/>
    <w:unhideWhenUsed/>
    <w:rsid w:val="009309E7"/>
    <w:rPr>
      <w:b/>
      <w:bCs/>
      <w:i/>
      <w:iCs/>
      <w:color w:val="auto"/>
    </w:rPr>
  </w:style>
  <w:style w:type="paragraph" w:styleId="IntenseQuote">
    <w:name w:val="Intense Quote"/>
    <w:basedOn w:val="Normal"/>
    <w:next w:val="Normal"/>
    <w:link w:val="IntenseQuoteChar"/>
    <w:uiPriority w:val="30"/>
    <w:unhideWhenUsed/>
    <w:rsid w:val="009309E7"/>
    <w:pPr>
      <w:pBdr>
        <w:bottom w:val="single" w:color="auto" w:sz="4" w:space="4"/>
      </w:pBdr>
      <w:ind w:left="720" w:right="720"/>
    </w:pPr>
    <w:rPr>
      <w:b/>
      <w:bCs/>
      <w:i/>
      <w:iCs/>
    </w:rPr>
  </w:style>
  <w:style w:type="character" w:styleId="IntenseQuoteChar" w:customStyle="1">
    <w:name w:val="Intense Quote Char"/>
    <w:basedOn w:val="DefaultParagraphFont"/>
    <w:link w:val="IntenseQuote"/>
    <w:uiPriority w:val="30"/>
    <w:rsid w:val="000428BA"/>
    <w:rPr>
      <w:b/>
      <w:bCs/>
      <w:i/>
      <w:iCs/>
    </w:rPr>
  </w:style>
  <w:style w:type="character" w:styleId="IntenseReference">
    <w:name w:val="Intense Reference"/>
    <w:basedOn w:val="DefaultParagraphFont"/>
    <w:uiPriority w:val="32"/>
    <w:unhideWhenUsed/>
    <w:rsid w:val="009309E7"/>
    <w:rPr>
      <w:b/>
      <w:bCs/>
      <w:smallCaps/>
      <w:color w:val="auto"/>
      <w:spacing w:val="5"/>
      <w:u w:val="single"/>
    </w:rPr>
  </w:style>
  <w:style w:type="paragraph" w:styleId="Signature">
    <w:name w:val="Signature"/>
    <w:basedOn w:val="Normal"/>
    <w:link w:val="SignatureChar"/>
    <w:uiPriority w:val="99"/>
    <w:semiHidden/>
    <w:unhideWhenUsed/>
    <w:rsid w:val="00F81062"/>
    <w:pPr>
      <w:spacing w:after="0"/>
      <w:ind w:left="4680"/>
    </w:pPr>
  </w:style>
  <w:style w:type="character" w:styleId="SignatureChar" w:customStyle="1">
    <w:name w:val="Signature Char"/>
    <w:basedOn w:val="DefaultParagraphFont"/>
    <w:link w:val="Signature"/>
    <w:uiPriority w:val="99"/>
    <w:semiHidden/>
    <w:rsid w:val="00F81062"/>
  </w:style>
  <w:style w:type="paragraph" w:styleId="Subtitle">
    <w:name w:val="Subtitle"/>
    <w:basedOn w:val="Normal"/>
    <w:next w:val="BodyText"/>
    <w:link w:val="SubtitleChar"/>
    <w:uiPriority w:val="3"/>
    <w:qFormat/>
    <w:rsid w:val="00A35F51"/>
    <w:pPr>
      <w:keepNext/>
      <w:numPr>
        <w:ilvl w:val="1"/>
      </w:numPr>
      <w:outlineLvl w:val="1"/>
    </w:pPr>
    <w:rPr>
      <w:rFonts w:eastAsiaTheme="majorEastAsia" w:cstheme="majorBidi"/>
      <w:b/>
      <w:iCs/>
      <w:u w:val="single"/>
    </w:rPr>
  </w:style>
  <w:style w:type="character" w:styleId="SubtitleChar" w:customStyle="1">
    <w:name w:val="Subtitle Char"/>
    <w:basedOn w:val="DefaultParagraphFont"/>
    <w:link w:val="Subtitle"/>
    <w:uiPriority w:val="3"/>
    <w:rsid w:val="0049139D"/>
    <w:rPr>
      <w:rFonts w:eastAsiaTheme="majorEastAsia" w:cstheme="majorBidi"/>
      <w:b/>
      <w:iCs/>
      <w:u w:val="single"/>
    </w:rPr>
  </w:style>
  <w:style w:type="character" w:styleId="SubtleEmphasis">
    <w:name w:val="Subtle Emphasis"/>
    <w:basedOn w:val="DefaultParagraphFont"/>
    <w:uiPriority w:val="19"/>
    <w:unhideWhenUsed/>
    <w:rsid w:val="00F81062"/>
    <w:rPr>
      <w:i/>
      <w:iCs/>
      <w:color w:val="auto"/>
    </w:rPr>
  </w:style>
  <w:style w:type="character" w:styleId="SubtleReference">
    <w:name w:val="Subtle Reference"/>
    <w:basedOn w:val="DefaultParagraphFont"/>
    <w:uiPriority w:val="31"/>
    <w:unhideWhenUsed/>
    <w:rsid w:val="00F81062"/>
    <w:rPr>
      <w:smallCaps/>
      <w:color w:val="auto"/>
      <w:u w:val="single"/>
    </w:rPr>
  </w:style>
  <w:style w:type="paragraph" w:styleId="Title">
    <w:name w:val="Title"/>
    <w:basedOn w:val="Normal"/>
    <w:next w:val="BodyText"/>
    <w:link w:val="TitleChar"/>
    <w:uiPriority w:val="3"/>
    <w:qFormat/>
    <w:rsid w:val="00A35F51"/>
    <w:pPr>
      <w:keepNext/>
      <w:keepLines/>
      <w:jc w:val="center"/>
      <w:outlineLvl w:val="0"/>
    </w:pPr>
    <w:rPr>
      <w:rFonts w:eastAsiaTheme="majorEastAsia" w:cstheme="majorBidi"/>
      <w:b/>
      <w:szCs w:val="52"/>
    </w:rPr>
  </w:style>
  <w:style w:type="character" w:styleId="TitleChar" w:customStyle="1">
    <w:name w:val="Title Char"/>
    <w:basedOn w:val="DefaultParagraphFont"/>
    <w:link w:val="Title"/>
    <w:uiPriority w:val="3"/>
    <w:rsid w:val="00E12DC6"/>
    <w:rPr>
      <w:rFonts w:eastAsiaTheme="majorEastAsia" w:cstheme="majorBidi"/>
      <w:b/>
      <w:szCs w:val="52"/>
    </w:rPr>
  </w:style>
  <w:style w:type="character" w:styleId="PlaceholderText">
    <w:name w:val="Placeholder Text"/>
    <w:basedOn w:val="DefaultParagraphFont"/>
    <w:uiPriority w:val="99"/>
    <w:semiHidden/>
    <w:rsid w:val="00F81062"/>
    <w:rPr>
      <w:color w:val="auto"/>
    </w:rPr>
  </w:style>
  <w:style w:type="paragraph" w:styleId="Quote">
    <w:name w:val="Quote"/>
    <w:basedOn w:val="Normal"/>
    <w:next w:val="Normal"/>
    <w:link w:val="QuoteChar"/>
    <w:uiPriority w:val="29"/>
    <w:rsid w:val="00DB7194"/>
    <w:rPr>
      <w:i/>
      <w:iCs/>
    </w:rPr>
  </w:style>
  <w:style w:type="character" w:styleId="QuoteChar" w:customStyle="1">
    <w:name w:val="Quote Char"/>
    <w:basedOn w:val="DefaultParagraphFont"/>
    <w:link w:val="Quote"/>
    <w:uiPriority w:val="29"/>
    <w:rsid w:val="00DB7194"/>
    <w:rPr>
      <w:i/>
      <w:iCs/>
    </w:rPr>
  </w:style>
  <w:style w:type="paragraph" w:styleId="Caption">
    <w:name w:val="caption"/>
    <w:basedOn w:val="Normal"/>
    <w:next w:val="Normal"/>
    <w:uiPriority w:val="35"/>
    <w:semiHidden/>
    <w:unhideWhenUsed/>
    <w:rsid w:val="00DB7194"/>
    <w:pPr>
      <w:spacing w:after="200"/>
    </w:pPr>
    <w:rPr>
      <w:b/>
      <w:bCs/>
      <w:sz w:val="18"/>
      <w:szCs w:val="18"/>
    </w:rPr>
  </w:style>
  <w:style w:type="paragraph" w:styleId="TOAHeading">
    <w:name w:val="toa heading"/>
    <w:basedOn w:val="Normal"/>
    <w:next w:val="Normal"/>
    <w:uiPriority w:val="99"/>
    <w:semiHidden/>
    <w:unhideWhenUsed/>
    <w:rsid w:val="00A35F51"/>
    <w:rPr>
      <w:rFonts w:eastAsiaTheme="majorEastAsia" w:cstheme="majorBidi"/>
      <w:b/>
      <w:bCs/>
    </w:rPr>
  </w:style>
  <w:style w:type="character" w:styleId="Strong">
    <w:name w:val="Strong"/>
    <w:basedOn w:val="DefaultParagraphFont"/>
    <w:uiPriority w:val="22"/>
    <w:semiHidden/>
    <w:unhideWhenUsed/>
    <w:rsid w:val="00BD4656"/>
    <w:rPr>
      <w:b/>
      <w:bCs/>
    </w:rPr>
  </w:style>
  <w:style w:type="character" w:styleId="Emphasis">
    <w:name w:val="Emphasis"/>
    <w:basedOn w:val="DefaultParagraphFont"/>
    <w:uiPriority w:val="20"/>
    <w:rsid w:val="00BD4656"/>
    <w:rPr>
      <w:i/>
      <w:iCs/>
    </w:rPr>
  </w:style>
  <w:style w:type="paragraph" w:styleId="ListParagraph">
    <w:name w:val="List Paragraph"/>
    <w:basedOn w:val="Normal"/>
    <w:uiPriority w:val="34"/>
    <w:semiHidden/>
    <w:rsid w:val="005335FA"/>
    <w:pPr>
      <w:ind w:left="720"/>
      <w:contextualSpacing/>
    </w:pPr>
  </w:style>
  <w:style w:type="paragraph" w:styleId="ListBullet">
    <w:name w:val="List Bullet"/>
    <w:basedOn w:val="Normal"/>
    <w:uiPriority w:val="99"/>
    <w:semiHidden/>
    <w:qFormat/>
    <w:rsid w:val="0049139D"/>
    <w:pPr>
      <w:numPr>
        <w:numId w:val="1"/>
      </w:numPr>
      <w:contextualSpacing/>
    </w:pPr>
  </w:style>
  <w:style w:type="paragraph" w:styleId="ListNumber">
    <w:name w:val="List Number"/>
    <w:basedOn w:val="Normal"/>
    <w:uiPriority w:val="99"/>
    <w:semiHidden/>
    <w:qFormat/>
    <w:rsid w:val="0049139D"/>
    <w:pPr>
      <w:numPr>
        <w:numId w:val="6"/>
      </w:numPr>
      <w:contextualSpacing/>
    </w:pPr>
  </w:style>
  <w:style w:type="paragraph" w:styleId="TOC1">
    <w:name w:val="toc 1"/>
    <w:basedOn w:val="Normal"/>
    <w:next w:val="Normal"/>
    <w:autoRedefine/>
    <w:uiPriority w:val="39"/>
    <w:semiHidden/>
    <w:unhideWhenUsed/>
    <w:rsid w:val="00E84815"/>
    <w:pPr>
      <w:tabs>
        <w:tab w:val="right" w:leader="dot" w:pos="9360"/>
      </w:tabs>
      <w:ind w:right="720"/>
    </w:pPr>
  </w:style>
  <w:style w:type="paragraph" w:styleId="TOC4">
    <w:name w:val="toc 4"/>
    <w:basedOn w:val="Normal"/>
    <w:next w:val="Normal"/>
    <w:autoRedefine/>
    <w:uiPriority w:val="39"/>
    <w:semiHidden/>
    <w:unhideWhenUsed/>
    <w:rsid w:val="00FD0A5B"/>
    <w:pPr>
      <w:tabs>
        <w:tab w:val="right" w:leader="dot" w:pos="9360"/>
      </w:tabs>
      <w:ind w:left="2160" w:right="720"/>
    </w:pPr>
  </w:style>
  <w:style w:type="paragraph" w:styleId="TOC5">
    <w:name w:val="toc 5"/>
    <w:basedOn w:val="Normal"/>
    <w:next w:val="Normal"/>
    <w:autoRedefine/>
    <w:uiPriority w:val="39"/>
    <w:semiHidden/>
    <w:unhideWhenUsed/>
    <w:rsid w:val="00FD0A5B"/>
    <w:pPr>
      <w:tabs>
        <w:tab w:val="right" w:leader="dot" w:pos="9360"/>
      </w:tabs>
      <w:ind w:left="2880" w:right="720"/>
    </w:pPr>
  </w:style>
  <w:style w:type="paragraph" w:styleId="TOC6">
    <w:name w:val="toc 6"/>
    <w:basedOn w:val="Normal"/>
    <w:next w:val="Normal"/>
    <w:autoRedefine/>
    <w:uiPriority w:val="39"/>
    <w:semiHidden/>
    <w:unhideWhenUsed/>
    <w:rsid w:val="00FD0A5B"/>
    <w:pPr>
      <w:tabs>
        <w:tab w:val="right" w:leader="dot" w:pos="9360"/>
      </w:tabs>
      <w:ind w:left="3600" w:right="720"/>
    </w:pPr>
  </w:style>
  <w:style w:type="paragraph" w:styleId="TOC7">
    <w:name w:val="toc 7"/>
    <w:basedOn w:val="Normal"/>
    <w:next w:val="Normal"/>
    <w:autoRedefine/>
    <w:uiPriority w:val="39"/>
    <w:semiHidden/>
    <w:unhideWhenUsed/>
    <w:rsid w:val="00FD0A5B"/>
    <w:pPr>
      <w:tabs>
        <w:tab w:val="right" w:leader="dot" w:pos="9360"/>
      </w:tabs>
      <w:ind w:left="4320" w:right="720"/>
    </w:pPr>
  </w:style>
  <w:style w:type="paragraph" w:styleId="TOC8">
    <w:name w:val="toc 8"/>
    <w:basedOn w:val="Normal"/>
    <w:next w:val="Normal"/>
    <w:autoRedefine/>
    <w:uiPriority w:val="39"/>
    <w:semiHidden/>
    <w:unhideWhenUsed/>
    <w:rsid w:val="00FD0A5B"/>
    <w:pPr>
      <w:tabs>
        <w:tab w:val="right" w:leader="dot" w:pos="9360"/>
      </w:tabs>
      <w:ind w:left="5040" w:right="720"/>
    </w:pPr>
  </w:style>
  <w:style w:type="paragraph" w:styleId="Numbered1" w:customStyle="1">
    <w:name w:val="Numbered 1"/>
    <w:basedOn w:val="Normal"/>
    <w:uiPriority w:val="3"/>
    <w:qFormat/>
    <w:rsid w:val="00743F4E"/>
    <w:pPr>
      <w:numPr>
        <w:numId w:val="12"/>
      </w:numPr>
      <w:jc w:val="both"/>
    </w:pPr>
  </w:style>
  <w:style w:type="paragraph" w:styleId="Numbered2" w:customStyle="1">
    <w:name w:val="Numbered 2"/>
    <w:basedOn w:val="Normal"/>
    <w:uiPriority w:val="3"/>
    <w:semiHidden/>
    <w:unhideWhenUsed/>
    <w:rsid w:val="00743F4E"/>
    <w:pPr>
      <w:numPr>
        <w:ilvl w:val="1"/>
        <w:numId w:val="12"/>
      </w:numPr>
      <w:jc w:val="both"/>
    </w:pPr>
  </w:style>
  <w:style w:type="paragraph" w:styleId="Numbered3" w:customStyle="1">
    <w:name w:val="Numbered 3"/>
    <w:basedOn w:val="Normal"/>
    <w:uiPriority w:val="3"/>
    <w:semiHidden/>
    <w:unhideWhenUsed/>
    <w:rsid w:val="00743F4E"/>
    <w:pPr>
      <w:numPr>
        <w:ilvl w:val="2"/>
        <w:numId w:val="12"/>
      </w:numPr>
      <w:jc w:val="both"/>
    </w:pPr>
  </w:style>
  <w:style w:type="paragraph" w:styleId="Numbered4" w:customStyle="1">
    <w:name w:val="Numbered 4"/>
    <w:basedOn w:val="Normal"/>
    <w:uiPriority w:val="3"/>
    <w:semiHidden/>
    <w:unhideWhenUsed/>
    <w:rsid w:val="00743F4E"/>
    <w:pPr>
      <w:numPr>
        <w:ilvl w:val="3"/>
        <w:numId w:val="12"/>
      </w:numPr>
      <w:jc w:val="both"/>
    </w:pPr>
  </w:style>
  <w:style w:type="paragraph" w:styleId="Numbered5" w:customStyle="1">
    <w:name w:val="Numbered 5"/>
    <w:basedOn w:val="Normal"/>
    <w:uiPriority w:val="3"/>
    <w:semiHidden/>
    <w:unhideWhenUsed/>
    <w:rsid w:val="00743F4E"/>
    <w:pPr>
      <w:numPr>
        <w:ilvl w:val="4"/>
        <w:numId w:val="12"/>
      </w:numPr>
      <w:jc w:val="both"/>
    </w:pPr>
  </w:style>
  <w:style w:type="paragraph" w:styleId="Numbered6" w:customStyle="1">
    <w:name w:val="Numbered 6"/>
    <w:basedOn w:val="Normal"/>
    <w:uiPriority w:val="3"/>
    <w:semiHidden/>
    <w:unhideWhenUsed/>
    <w:rsid w:val="00743F4E"/>
    <w:pPr>
      <w:numPr>
        <w:ilvl w:val="5"/>
        <w:numId w:val="12"/>
      </w:numPr>
      <w:jc w:val="both"/>
    </w:pPr>
  </w:style>
  <w:style w:type="paragraph" w:styleId="Numbered7" w:customStyle="1">
    <w:name w:val="Numbered 7"/>
    <w:basedOn w:val="Normal"/>
    <w:uiPriority w:val="3"/>
    <w:semiHidden/>
    <w:unhideWhenUsed/>
    <w:rsid w:val="00743F4E"/>
    <w:pPr>
      <w:numPr>
        <w:ilvl w:val="6"/>
        <w:numId w:val="12"/>
      </w:numPr>
      <w:jc w:val="both"/>
    </w:pPr>
  </w:style>
  <w:style w:type="paragraph" w:styleId="Numbered8" w:customStyle="1">
    <w:name w:val="Numbered 8"/>
    <w:basedOn w:val="Normal"/>
    <w:uiPriority w:val="3"/>
    <w:semiHidden/>
    <w:unhideWhenUsed/>
    <w:rsid w:val="00743F4E"/>
    <w:pPr>
      <w:numPr>
        <w:ilvl w:val="7"/>
        <w:numId w:val="12"/>
      </w:numPr>
      <w:jc w:val="both"/>
    </w:pPr>
  </w:style>
  <w:style w:type="paragraph" w:styleId="Numbered9" w:customStyle="1">
    <w:name w:val="Numbered 9"/>
    <w:basedOn w:val="Normal"/>
    <w:uiPriority w:val="3"/>
    <w:semiHidden/>
    <w:unhideWhenUsed/>
    <w:rsid w:val="00743F4E"/>
    <w:pPr>
      <w:numPr>
        <w:ilvl w:val="8"/>
        <w:numId w:val="12"/>
      </w:numPr>
      <w:jc w:val="both"/>
    </w:pPr>
  </w:style>
  <w:style w:type="paragraph" w:styleId="Bulleted1" w:customStyle="1">
    <w:name w:val="Bulleted 1"/>
    <w:basedOn w:val="Normal"/>
    <w:uiPriority w:val="3"/>
    <w:qFormat/>
    <w:rsid w:val="00743F4E"/>
    <w:pPr>
      <w:numPr>
        <w:numId w:val="13"/>
      </w:numPr>
      <w:jc w:val="both"/>
    </w:pPr>
  </w:style>
  <w:style w:type="paragraph" w:styleId="Bulleted2" w:customStyle="1">
    <w:name w:val="Bulleted 2"/>
    <w:basedOn w:val="Normal"/>
    <w:uiPriority w:val="3"/>
    <w:semiHidden/>
    <w:unhideWhenUsed/>
    <w:rsid w:val="00743F4E"/>
    <w:pPr>
      <w:numPr>
        <w:ilvl w:val="1"/>
        <w:numId w:val="13"/>
      </w:numPr>
      <w:jc w:val="both"/>
    </w:pPr>
  </w:style>
  <w:style w:type="paragraph" w:styleId="Bulleted3" w:customStyle="1">
    <w:name w:val="Bulleted 3"/>
    <w:basedOn w:val="Normal"/>
    <w:uiPriority w:val="3"/>
    <w:semiHidden/>
    <w:unhideWhenUsed/>
    <w:rsid w:val="00743F4E"/>
    <w:pPr>
      <w:numPr>
        <w:ilvl w:val="2"/>
        <w:numId w:val="13"/>
      </w:numPr>
      <w:jc w:val="both"/>
    </w:pPr>
  </w:style>
  <w:style w:type="paragraph" w:styleId="Bulleted4" w:customStyle="1">
    <w:name w:val="Bulleted 4"/>
    <w:basedOn w:val="Normal"/>
    <w:uiPriority w:val="3"/>
    <w:semiHidden/>
    <w:unhideWhenUsed/>
    <w:rsid w:val="00743F4E"/>
    <w:pPr>
      <w:numPr>
        <w:ilvl w:val="3"/>
        <w:numId w:val="13"/>
      </w:numPr>
      <w:jc w:val="both"/>
    </w:pPr>
  </w:style>
  <w:style w:type="paragraph" w:styleId="Bulleted5" w:customStyle="1">
    <w:name w:val="Bulleted 5"/>
    <w:basedOn w:val="Normal"/>
    <w:uiPriority w:val="3"/>
    <w:semiHidden/>
    <w:unhideWhenUsed/>
    <w:rsid w:val="00743F4E"/>
    <w:pPr>
      <w:numPr>
        <w:ilvl w:val="4"/>
        <w:numId w:val="13"/>
      </w:numPr>
      <w:jc w:val="both"/>
    </w:pPr>
  </w:style>
  <w:style w:type="paragraph" w:styleId="Bulleted6" w:customStyle="1">
    <w:name w:val="Bulleted 6"/>
    <w:basedOn w:val="Normal"/>
    <w:uiPriority w:val="3"/>
    <w:semiHidden/>
    <w:unhideWhenUsed/>
    <w:rsid w:val="00743F4E"/>
    <w:pPr>
      <w:numPr>
        <w:ilvl w:val="5"/>
        <w:numId w:val="13"/>
      </w:numPr>
      <w:jc w:val="both"/>
    </w:pPr>
  </w:style>
  <w:style w:type="paragraph" w:styleId="Bulleted7" w:customStyle="1">
    <w:name w:val="Bulleted 7"/>
    <w:basedOn w:val="Normal"/>
    <w:uiPriority w:val="3"/>
    <w:semiHidden/>
    <w:unhideWhenUsed/>
    <w:rsid w:val="00743F4E"/>
    <w:pPr>
      <w:numPr>
        <w:ilvl w:val="6"/>
        <w:numId w:val="13"/>
      </w:numPr>
      <w:jc w:val="both"/>
    </w:pPr>
  </w:style>
  <w:style w:type="paragraph" w:styleId="Bulleted8" w:customStyle="1">
    <w:name w:val="Bulleted 8"/>
    <w:basedOn w:val="Normal"/>
    <w:uiPriority w:val="3"/>
    <w:semiHidden/>
    <w:unhideWhenUsed/>
    <w:rsid w:val="00743F4E"/>
    <w:pPr>
      <w:numPr>
        <w:ilvl w:val="7"/>
        <w:numId w:val="13"/>
      </w:numPr>
      <w:jc w:val="both"/>
    </w:pPr>
  </w:style>
  <w:style w:type="paragraph" w:styleId="Bulleted9" w:customStyle="1">
    <w:name w:val="Bulleted 9"/>
    <w:basedOn w:val="Normal"/>
    <w:uiPriority w:val="3"/>
    <w:semiHidden/>
    <w:unhideWhenUsed/>
    <w:rsid w:val="00743F4E"/>
    <w:pPr>
      <w:numPr>
        <w:ilvl w:val="8"/>
        <w:numId w:val="13"/>
      </w:numPr>
      <w:jc w:val="both"/>
    </w:pPr>
  </w:style>
  <w:style w:type="paragraph" w:styleId="Header">
    <w:name w:val="header"/>
    <w:basedOn w:val="Normal"/>
    <w:link w:val="HeaderChar"/>
    <w:uiPriority w:val="99"/>
    <w:unhideWhenUsed/>
    <w:rsid w:val="00D06F3D"/>
    <w:pPr>
      <w:tabs>
        <w:tab w:val="center" w:pos="4680"/>
        <w:tab w:val="right" w:pos="9360"/>
      </w:tabs>
      <w:spacing w:after="0"/>
    </w:pPr>
  </w:style>
  <w:style w:type="character" w:styleId="HeaderChar" w:customStyle="1">
    <w:name w:val="Header Char"/>
    <w:basedOn w:val="DefaultParagraphFont"/>
    <w:link w:val="Header"/>
    <w:uiPriority w:val="99"/>
    <w:rsid w:val="00D06F3D"/>
  </w:style>
  <w:style w:type="paragraph" w:styleId="Footer">
    <w:name w:val="footer"/>
    <w:basedOn w:val="Normal"/>
    <w:link w:val="FooterChar"/>
    <w:uiPriority w:val="99"/>
    <w:unhideWhenUsed/>
    <w:rsid w:val="00D06F3D"/>
    <w:pPr>
      <w:tabs>
        <w:tab w:val="center" w:pos="4680"/>
        <w:tab w:val="right" w:pos="9360"/>
      </w:tabs>
      <w:spacing w:after="0"/>
    </w:pPr>
  </w:style>
  <w:style w:type="character" w:styleId="FooterChar" w:customStyle="1">
    <w:name w:val="Footer Char"/>
    <w:basedOn w:val="DefaultParagraphFont"/>
    <w:link w:val="Footer"/>
    <w:uiPriority w:val="99"/>
    <w:rsid w:val="00D06F3D"/>
  </w:style>
  <w:style w:type="paragraph" w:styleId="NumberedA" w:customStyle="1">
    <w:name w:val="Numbered A"/>
    <w:basedOn w:val="Numbered1"/>
    <w:uiPriority w:val="3"/>
    <w:qFormat/>
    <w:rsid w:val="002823FC"/>
    <w:pPr>
      <w:numPr>
        <w:numId w:val="14"/>
      </w:numPr>
      <w:ind w:hanging="720"/>
    </w:pPr>
  </w:style>
  <w:style w:type="paragraph" w:styleId="Style8" w:customStyle="1">
    <w:name w:val="Style8"/>
    <w:basedOn w:val="Normal"/>
    <w:rsid w:val="00D075F2"/>
    <w:pPr>
      <w:numPr>
        <w:numId w:val="15"/>
      </w:numPr>
      <w:tabs>
        <w:tab w:val="clear" w:pos="360"/>
        <w:tab w:val="num" w:pos="720"/>
      </w:tabs>
      <w:spacing w:before="100" w:beforeAutospacing="1"/>
      <w:ind w:left="1080"/>
    </w:pPr>
    <w:rPr>
      <w:rFonts w:eastAsia="Times New Roman" w:cs="Times New Roman"/>
      <w:u w:val="single"/>
    </w:rPr>
  </w:style>
  <w:style w:type="paragraph" w:styleId="FootnoteText">
    <w:name w:val="footnote text"/>
    <w:basedOn w:val="Normal"/>
    <w:link w:val="FootnoteTextChar"/>
    <w:uiPriority w:val="99"/>
    <w:semiHidden/>
    <w:unhideWhenUsed/>
    <w:rsid w:val="00192EC1"/>
    <w:pPr>
      <w:spacing w:after="0"/>
    </w:pPr>
    <w:rPr>
      <w:sz w:val="20"/>
      <w:szCs w:val="20"/>
    </w:rPr>
  </w:style>
  <w:style w:type="character" w:styleId="FootnoteTextChar" w:customStyle="1">
    <w:name w:val="Footnote Text Char"/>
    <w:basedOn w:val="DefaultParagraphFont"/>
    <w:link w:val="FootnoteText"/>
    <w:uiPriority w:val="99"/>
    <w:semiHidden/>
    <w:rsid w:val="00192EC1"/>
    <w:rPr>
      <w:sz w:val="20"/>
      <w:szCs w:val="20"/>
    </w:rPr>
  </w:style>
  <w:style w:type="character" w:styleId="FootnoteReference">
    <w:name w:val="footnote reference"/>
    <w:basedOn w:val="DefaultParagraphFont"/>
    <w:uiPriority w:val="99"/>
    <w:semiHidden/>
    <w:unhideWhenUsed/>
    <w:rsid w:val="00192EC1"/>
    <w:rPr>
      <w:vertAlign w:val="superscript"/>
    </w:rPr>
  </w:style>
  <w:style w:type="character" w:styleId="CommentReference">
    <w:name w:val="annotation reference"/>
    <w:basedOn w:val="DefaultParagraphFont"/>
    <w:uiPriority w:val="99"/>
    <w:semiHidden/>
    <w:unhideWhenUsed/>
    <w:rsid w:val="00D019A0"/>
    <w:rPr>
      <w:sz w:val="16"/>
      <w:szCs w:val="16"/>
    </w:rPr>
  </w:style>
  <w:style w:type="paragraph" w:styleId="CommentText">
    <w:name w:val="annotation text"/>
    <w:basedOn w:val="Normal"/>
    <w:link w:val="CommentTextChar"/>
    <w:uiPriority w:val="99"/>
    <w:semiHidden/>
    <w:unhideWhenUsed/>
    <w:rsid w:val="00D019A0"/>
    <w:rPr>
      <w:sz w:val="20"/>
      <w:szCs w:val="20"/>
    </w:rPr>
  </w:style>
  <w:style w:type="character" w:styleId="CommentTextChar" w:customStyle="1">
    <w:name w:val="Comment Text Char"/>
    <w:basedOn w:val="DefaultParagraphFont"/>
    <w:link w:val="CommentText"/>
    <w:uiPriority w:val="99"/>
    <w:semiHidden/>
    <w:rsid w:val="00D019A0"/>
    <w:rPr>
      <w:sz w:val="20"/>
      <w:szCs w:val="20"/>
    </w:rPr>
  </w:style>
  <w:style w:type="paragraph" w:styleId="CommentSubject">
    <w:name w:val="annotation subject"/>
    <w:basedOn w:val="CommentText"/>
    <w:next w:val="CommentText"/>
    <w:link w:val="CommentSubjectChar"/>
    <w:uiPriority w:val="99"/>
    <w:semiHidden/>
    <w:unhideWhenUsed/>
    <w:rsid w:val="00D019A0"/>
    <w:rPr>
      <w:b/>
      <w:bCs/>
    </w:rPr>
  </w:style>
  <w:style w:type="character" w:styleId="CommentSubjectChar" w:customStyle="1">
    <w:name w:val="Comment Subject Char"/>
    <w:basedOn w:val="CommentTextChar"/>
    <w:link w:val="CommentSubject"/>
    <w:uiPriority w:val="99"/>
    <w:semiHidden/>
    <w:rsid w:val="00D019A0"/>
    <w:rPr>
      <w:b/>
      <w:bCs/>
      <w:sz w:val="20"/>
      <w:szCs w:val="20"/>
    </w:rPr>
  </w:style>
  <w:style w:type="paragraph" w:styleId="BalloonText">
    <w:name w:val="Balloon Text"/>
    <w:basedOn w:val="Normal"/>
    <w:link w:val="BalloonTextChar"/>
    <w:uiPriority w:val="99"/>
    <w:semiHidden/>
    <w:unhideWhenUsed/>
    <w:rsid w:val="00D019A0"/>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019A0"/>
    <w:rPr>
      <w:rFonts w:ascii="Segoe UI" w:hAnsi="Segoe UI" w:cs="Segoe UI"/>
      <w:sz w:val="18"/>
      <w:szCs w:val="18"/>
    </w:rPr>
  </w:style>
  <w:style w:type="paragraph" w:styleId="Revision">
    <w:name w:val="Revision"/>
    <w:hidden/>
    <w:uiPriority w:val="99"/>
    <w:semiHidden/>
    <w:rsid w:val="00D74F7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microsoft.com/office/2016/09/relationships/commentsIds" Target="commentsIds.xml" Id="rId16"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