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34C" w:rsidP="0083634C" w:rsidRDefault="00325D50">
      <w:pPr>
        <w:pStyle w:val="Default"/>
        <w:jc w:val="center"/>
      </w:pPr>
      <w:r>
        <w:rPr>
          <w:sz w:val="23"/>
          <w:szCs w:val="23"/>
        </w:rPr>
        <w:t>CERCLA 108(b) FINANCIAL ASSURANCE CASE</w:t>
      </w:r>
    </w:p>
    <w:p w:rsidR="00325D50" w:rsidP="0083634C" w:rsidRDefault="0083634C">
      <w:pPr>
        <w:spacing w:after="0"/>
        <w:jc w:val="center"/>
        <w:rPr>
          <w:sz w:val="23"/>
          <w:szCs w:val="23"/>
        </w:rPr>
      </w:pPr>
      <w:r>
        <w:rPr>
          <w:sz w:val="23"/>
          <w:szCs w:val="23"/>
        </w:rPr>
        <w:t>I</w:t>
      </w:r>
      <w:r>
        <w:rPr>
          <w:sz w:val="19"/>
          <w:szCs w:val="19"/>
        </w:rPr>
        <w:t xml:space="preserve">DAHO </w:t>
      </w:r>
      <w:r>
        <w:rPr>
          <w:sz w:val="23"/>
          <w:szCs w:val="23"/>
        </w:rPr>
        <w:t>C</w:t>
      </w:r>
      <w:r>
        <w:rPr>
          <w:sz w:val="19"/>
          <w:szCs w:val="19"/>
        </w:rPr>
        <w:t xml:space="preserve">ONSERVATION </w:t>
      </w:r>
      <w:r>
        <w:rPr>
          <w:sz w:val="23"/>
          <w:szCs w:val="23"/>
        </w:rPr>
        <w:t>L</w:t>
      </w:r>
      <w:r>
        <w:rPr>
          <w:sz w:val="19"/>
          <w:szCs w:val="19"/>
        </w:rPr>
        <w:t>EAGUE</w:t>
      </w:r>
      <w:r>
        <w:rPr>
          <w:sz w:val="23"/>
          <w:szCs w:val="23"/>
        </w:rPr>
        <w:t xml:space="preserve"> v. EPA (DC Circuit 18-1141)</w:t>
      </w:r>
    </w:p>
    <w:p w:rsidR="0083634C" w:rsidP="0083634C" w:rsidRDefault="0083634C">
      <w:pPr>
        <w:spacing w:after="0"/>
        <w:jc w:val="center"/>
        <w:rPr>
          <w:sz w:val="23"/>
          <w:szCs w:val="23"/>
        </w:rPr>
      </w:pPr>
    </w:p>
    <w:p w:rsidR="00325D50" w:rsidP="0083634C" w:rsidRDefault="00325D50">
      <w:pPr>
        <w:spacing w:after="0"/>
        <w:jc w:val="center"/>
        <w:rPr>
          <w:sz w:val="23"/>
          <w:szCs w:val="23"/>
        </w:rPr>
      </w:pPr>
      <w:r>
        <w:rPr>
          <w:sz w:val="23"/>
          <w:szCs w:val="23"/>
        </w:rPr>
        <w:t>DC CIRCUIT OPINION 7.19.19</w:t>
      </w:r>
      <w:r w:rsidR="0083634C">
        <w:rPr>
          <w:sz w:val="23"/>
          <w:szCs w:val="23"/>
        </w:rPr>
        <w:t xml:space="preserve">  ---  SHORT SUMMARY </w:t>
      </w:r>
      <w:r>
        <w:rPr>
          <w:sz w:val="23"/>
          <w:szCs w:val="23"/>
        </w:rPr>
        <w:t>OF OPINION</w:t>
      </w:r>
    </w:p>
    <w:p w:rsidR="00325D50" w:rsidRDefault="00325D50">
      <w:pPr>
        <w:rPr>
          <w:sz w:val="23"/>
          <w:szCs w:val="23"/>
        </w:rPr>
      </w:pPr>
    </w:p>
    <w:p w:rsidR="00325D50" w:rsidP="009F0625" w:rsidRDefault="00325D50">
      <w:pPr>
        <w:rPr>
          <w:sz w:val="23"/>
          <w:szCs w:val="23"/>
        </w:rPr>
      </w:pPr>
      <w:r>
        <w:rPr>
          <w:sz w:val="23"/>
          <w:szCs w:val="23"/>
        </w:rPr>
        <w:t xml:space="preserve">The DC Circuit upheld EPA’s decision </w:t>
      </w:r>
      <w:r w:rsidR="0083634C">
        <w:rPr>
          <w:sz w:val="23"/>
          <w:szCs w:val="23"/>
        </w:rPr>
        <w:t xml:space="preserve">to </w:t>
      </w:r>
      <w:r>
        <w:rPr>
          <w:sz w:val="23"/>
          <w:szCs w:val="23"/>
        </w:rPr>
        <w:t>not impose financial assurance requirements under CERCLA 108(b) on the hardrock mining industry.</w:t>
      </w:r>
      <w:r w:rsidR="009F0625">
        <w:rPr>
          <w:sz w:val="23"/>
          <w:szCs w:val="23"/>
        </w:rPr>
        <w:t xml:space="preserve"> The court found EPA’s </w:t>
      </w:r>
      <w:r>
        <w:rPr>
          <w:sz w:val="23"/>
          <w:szCs w:val="23"/>
        </w:rPr>
        <w:t>legal interpretation and analysis of the data to be reasonable.</w:t>
      </w:r>
    </w:p>
    <w:p w:rsidR="009F0625" w:rsidRDefault="009F0625">
      <w:pPr>
        <w:rPr>
          <w:sz w:val="23"/>
          <w:szCs w:val="23"/>
        </w:rPr>
      </w:pPr>
      <w:r w:rsidRPr="0083634C">
        <w:rPr>
          <w:b/>
          <w:sz w:val="23"/>
          <w:szCs w:val="23"/>
        </w:rPr>
        <w:t>SHORT SUMMARY OF COURT’S CONCLUSIONS</w:t>
      </w:r>
    </w:p>
    <w:p w:rsidR="009F0625" w:rsidP="0083634C" w:rsidRDefault="009F0625">
      <w:pPr>
        <w:spacing w:after="0"/>
        <w:rPr>
          <w:sz w:val="23"/>
          <w:szCs w:val="23"/>
        </w:rPr>
      </w:pPr>
      <w:r>
        <w:rPr>
          <w:sz w:val="23"/>
          <w:szCs w:val="23"/>
        </w:rPr>
        <w:t xml:space="preserve">The court agreed that </w:t>
      </w:r>
    </w:p>
    <w:p w:rsidR="00325D50" w:rsidP="0083634C" w:rsidRDefault="009F0625">
      <w:pPr>
        <w:spacing w:after="0"/>
        <w:ind w:firstLine="720"/>
        <w:rPr>
          <w:sz w:val="23"/>
          <w:szCs w:val="23"/>
        </w:rPr>
      </w:pPr>
      <w:r>
        <w:rPr>
          <w:sz w:val="23"/>
          <w:szCs w:val="23"/>
        </w:rPr>
        <w:t>1) “risk” in 108(b) can focus only on financial risk</w:t>
      </w:r>
    </w:p>
    <w:p w:rsidR="009F0625" w:rsidP="0083634C" w:rsidRDefault="009F0625">
      <w:pPr>
        <w:spacing w:after="0"/>
        <w:rPr>
          <w:sz w:val="23"/>
          <w:szCs w:val="23"/>
        </w:rPr>
      </w:pPr>
      <w:r>
        <w:rPr>
          <w:sz w:val="23"/>
          <w:szCs w:val="23"/>
        </w:rPr>
        <w:tab/>
        <w:t>2) EPA is not obligated to impose FA regulations under 108(b)</w:t>
      </w:r>
    </w:p>
    <w:p w:rsidR="009F0625" w:rsidP="0083634C" w:rsidRDefault="009F0625">
      <w:pPr>
        <w:spacing w:after="0"/>
        <w:rPr>
          <w:sz w:val="23"/>
          <w:szCs w:val="23"/>
        </w:rPr>
      </w:pPr>
      <w:r>
        <w:rPr>
          <w:sz w:val="23"/>
          <w:szCs w:val="23"/>
        </w:rPr>
        <w:tab/>
        <w:t>3) existing state and federal rules can be seen to adequately address imp</w:t>
      </w:r>
      <w:r w:rsidR="001C702F">
        <w:rPr>
          <w:sz w:val="23"/>
          <w:szCs w:val="23"/>
        </w:rPr>
        <w:t>acts to natural resources</w:t>
      </w:r>
      <w:bookmarkStart w:name="_GoBack" w:id="0"/>
      <w:bookmarkEnd w:id="0"/>
    </w:p>
    <w:p w:rsidR="009F0625" w:rsidP="0083634C" w:rsidRDefault="009F0625">
      <w:pPr>
        <w:spacing w:after="0"/>
        <w:ind w:left="720"/>
        <w:rPr>
          <w:sz w:val="23"/>
          <w:szCs w:val="23"/>
        </w:rPr>
      </w:pPr>
      <w:r>
        <w:rPr>
          <w:sz w:val="23"/>
          <w:szCs w:val="23"/>
        </w:rPr>
        <w:t xml:space="preserve">4) individual sites notwithstanding, </w:t>
      </w:r>
      <w:r w:rsidR="0083634C">
        <w:rPr>
          <w:sz w:val="23"/>
          <w:szCs w:val="23"/>
        </w:rPr>
        <w:t>EPA reasonably</w:t>
      </w:r>
      <w:r>
        <w:rPr>
          <w:sz w:val="23"/>
          <w:szCs w:val="23"/>
        </w:rPr>
        <w:t xml:space="preserve"> conclude</w:t>
      </w:r>
      <w:r w:rsidR="0083634C">
        <w:rPr>
          <w:sz w:val="23"/>
          <w:szCs w:val="23"/>
        </w:rPr>
        <w:t>d</w:t>
      </w:r>
      <w:r>
        <w:rPr>
          <w:sz w:val="23"/>
          <w:szCs w:val="23"/>
        </w:rPr>
        <w:t xml:space="preserve"> that </w:t>
      </w:r>
      <w:r w:rsidR="0083634C">
        <w:rPr>
          <w:sz w:val="23"/>
          <w:szCs w:val="23"/>
        </w:rPr>
        <w:t xml:space="preserve">industry-wide </w:t>
      </w:r>
      <w:r>
        <w:rPr>
          <w:sz w:val="23"/>
          <w:szCs w:val="23"/>
        </w:rPr>
        <w:t xml:space="preserve">FA regs are not justified </w:t>
      </w:r>
    </w:p>
    <w:p w:rsidR="009F0625" w:rsidP="0083634C" w:rsidRDefault="009F0625">
      <w:pPr>
        <w:spacing w:after="0"/>
        <w:ind w:left="720"/>
        <w:rPr>
          <w:sz w:val="23"/>
          <w:szCs w:val="23"/>
        </w:rPr>
      </w:pPr>
      <w:r>
        <w:rPr>
          <w:sz w:val="23"/>
          <w:szCs w:val="23"/>
        </w:rPr>
        <w:t xml:space="preserve">5) EPA’s generalized cost/benefit analysis supports </w:t>
      </w:r>
      <w:r w:rsidR="0083634C">
        <w:rPr>
          <w:sz w:val="23"/>
          <w:szCs w:val="23"/>
        </w:rPr>
        <w:t>its</w:t>
      </w:r>
      <w:r>
        <w:rPr>
          <w:sz w:val="23"/>
          <w:szCs w:val="23"/>
        </w:rPr>
        <w:t xml:space="preserve"> decision against 108(b) FA requirements </w:t>
      </w:r>
    </w:p>
    <w:p w:rsidR="0083634C" w:rsidP="0083634C" w:rsidRDefault="0083634C">
      <w:pPr>
        <w:spacing w:after="0"/>
        <w:rPr>
          <w:sz w:val="23"/>
          <w:szCs w:val="23"/>
        </w:rPr>
      </w:pPr>
    </w:p>
    <w:p w:rsidRPr="0083634C" w:rsidR="009F0625" w:rsidP="009F0625" w:rsidRDefault="009F0625">
      <w:pPr>
        <w:rPr>
          <w:b/>
          <w:sz w:val="23"/>
          <w:szCs w:val="23"/>
        </w:rPr>
      </w:pPr>
      <w:r w:rsidRPr="0083634C">
        <w:rPr>
          <w:b/>
          <w:sz w:val="23"/>
          <w:szCs w:val="23"/>
        </w:rPr>
        <w:t>KEY QUOTES FROM DECISION</w:t>
      </w:r>
    </w:p>
    <w:p w:rsidR="00083205" w:rsidRDefault="00325D50">
      <w:pPr>
        <w:rPr>
          <w:sz w:val="23"/>
          <w:szCs w:val="23"/>
        </w:rPr>
      </w:pPr>
      <w:r>
        <w:rPr>
          <w:sz w:val="23"/>
          <w:szCs w:val="23"/>
        </w:rPr>
        <w:t>-  EPA interpreted “risk”</w:t>
      </w:r>
      <w:r w:rsidR="009F0625">
        <w:rPr>
          <w:sz w:val="23"/>
          <w:szCs w:val="23"/>
        </w:rPr>
        <w:t xml:space="preserve"> of 108(b) to mean the financial risk “that EPA would be required to use the Superfund to finance response actions at currently active mines. </w:t>
      </w:r>
      <w:r w:rsidR="00083205">
        <w:rPr>
          <w:sz w:val="23"/>
          <w:szCs w:val="23"/>
        </w:rPr>
        <w:t xml:space="preserve">We believe the EPA’s interpretation is reasonable. As noted, the Congress used only financial terms to describe the relevant “risk” in the amount clause. </w:t>
      </w:r>
      <w:r w:rsidR="00083205">
        <w:rPr>
          <w:i/>
          <w:iCs/>
          <w:sz w:val="23"/>
          <w:szCs w:val="23"/>
        </w:rPr>
        <w:t xml:space="preserve">See </w:t>
      </w:r>
      <w:r w:rsidR="00083205">
        <w:rPr>
          <w:sz w:val="23"/>
          <w:szCs w:val="23"/>
        </w:rPr>
        <w:t>42 U.S.C. § 9608(b)(2).</w:t>
      </w:r>
      <w:r w:rsidR="009F0625">
        <w:rPr>
          <w:sz w:val="23"/>
          <w:szCs w:val="23"/>
        </w:rPr>
        <w:t>”</w:t>
      </w:r>
    </w:p>
    <w:p w:rsidR="00083205" w:rsidRDefault="009F0625">
      <w:pPr>
        <w:rPr>
          <w:sz w:val="23"/>
          <w:szCs w:val="23"/>
        </w:rPr>
      </w:pPr>
      <w:r>
        <w:rPr>
          <w:sz w:val="23"/>
          <w:szCs w:val="23"/>
        </w:rPr>
        <w:t>- “</w:t>
      </w:r>
      <w:r w:rsidR="00083205">
        <w:rPr>
          <w:sz w:val="23"/>
          <w:szCs w:val="23"/>
        </w:rPr>
        <w:t>Because § 9608(b)’s use of “risk” in the general mandate and amount clauses is ambiguous and the EPA’s interpretation is reasonable, we defer to the EPA’s interpretation that it should set financial responsibility regulations based on financial risks, not risks to health and the environment.</w:t>
      </w:r>
      <w:r>
        <w:rPr>
          <w:sz w:val="23"/>
          <w:szCs w:val="23"/>
        </w:rPr>
        <w:t>”</w:t>
      </w:r>
    </w:p>
    <w:p w:rsidR="00083205" w:rsidRDefault="009F0625">
      <w:pPr>
        <w:rPr>
          <w:sz w:val="23"/>
          <w:szCs w:val="23"/>
        </w:rPr>
      </w:pPr>
      <w:r>
        <w:rPr>
          <w:sz w:val="23"/>
          <w:szCs w:val="23"/>
        </w:rPr>
        <w:t>- “[N]</w:t>
      </w:r>
      <w:r w:rsidR="00083205">
        <w:rPr>
          <w:sz w:val="23"/>
          <w:szCs w:val="23"/>
        </w:rPr>
        <w:t>othing in § 9608(b) mandates the EPA to promulgate financial responsibility requirements for the hardrock mining industry, authorizing the EPA to decline to do so.</w:t>
      </w:r>
      <w:r>
        <w:rPr>
          <w:sz w:val="23"/>
          <w:szCs w:val="23"/>
        </w:rPr>
        <w:t>”</w:t>
      </w:r>
    </w:p>
    <w:p w:rsidR="00325D50" w:rsidRDefault="009F0625">
      <w:pPr>
        <w:rPr>
          <w:sz w:val="23"/>
          <w:szCs w:val="23"/>
        </w:rPr>
      </w:pPr>
      <w:r>
        <w:rPr>
          <w:sz w:val="23"/>
          <w:szCs w:val="23"/>
        </w:rPr>
        <w:t>- EPA “</w:t>
      </w:r>
      <w:r w:rsidR="00325D50">
        <w:rPr>
          <w:sz w:val="23"/>
          <w:szCs w:val="23"/>
        </w:rPr>
        <w:t xml:space="preserve">reasonably concluded that “modern regulation of both process discharges and runoff, as well as reclamation requirements to control sources of contamination, significantly address” hardrock mining’s “impacts to natural resources.” </w:t>
      </w:r>
      <w:r w:rsidR="00325D50">
        <w:rPr>
          <w:i/>
          <w:iCs/>
          <w:sz w:val="23"/>
          <w:szCs w:val="23"/>
        </w:rPr>
        <w:t xml:space="preserve">Id. </w:t>
      </w:r>
      <w:r w:rsidR="00325D50">
        <w:rPr>
          <w:sz w:val="23"/>
          <w:szCs w:val="23"/>
        </w:rPr>
        <w:t>at 7569. The EPA thus did not arbitrarily or capriciously ignore costs associated with natural resource damage.</w:t>
      </w:r>
    </w:p>
    <w:p w:rsidR="00083205" w:rsidRDefault="009F0625">
      <w:pPr>
        <w:rPr>
          <w:sz w:val="23"/>
          <w:szCs w:val="23"/>
        </w:rPr>
      </w:pPr>
      <w:r>
        <w:rPr>
          <w:sz w:val="23"/>
          <w:szCs w:val="23"/>
        </w:rPr>
        <w:t>- “</w:t>
      </w:r>
      <w:r w:rsidR="00083205">
        <w:rPr>
          <w:sz w:val="23"/>
          <w:szCs w:val="23"/>
        </w:rPr>
        <w:t>We decline to substitute our judgment for the EPA’s on the question whether a handful of sites with likely minimal impact on the Superfund justifies industry-wide financial responsibility requirements.</w:t>
      </w:r>
      <w:r>
        <w:rPr>
          <w:sz w:val="23"/>
          <w:szCs w:val="23"/>
        </w:rPr>
        <w:t>”</w:t>
      </w:r>
    </w:p>
    <w:p w:rsidR="00325D50" w:rsidRDefault="009F0625">
      <w:pPr>
        <w:rPr>
          <w:sz w:val="23"/>
          <w:szCs w:val="23"/>
        </w:rPr>
      </w:pPr>
      <w:r>
        <w:rPr>
          <w:sz w:val="23"/>
          <w:szCs w:val="23"/>
        </w:rPr>
        <w:t>- Regarding the cost-benefit analysis: “</w:t>
      </w:r>
      <w:r w:rsidR="00325D50">
        <w:rPr>
          <w:sz w:val="23"/>
          <w:szCs w:val="23"/>
        </w:rPr>
        <w:t xml:space="preserve">The EPA expressly recognized that its estimates of $111 to $171 million in costs to the hardrock mining industry and $15 to $15.5 million in savings to the federal fisc are “not readily comparable.” </w:t>
      </w:r>
      <w:r w:rsidR="00325D50">
        <w:rPr>
          <w:i/>
          <w:iCs/>
          <w:sz w:val="23"/>
          <w:szCs w:val="23"/>
        </w:rPr>
        <w:t xml:space="preserve">Id. </w:t>
      </w:r>
      <w:r w:rsidR="00325D50">
        <w:rPr>
          <w:sz w:val="23"/>
          <w:szCs w:val="23"/>
        </w:rPr>
        <w:t xml:space="preserve">at 7585. Its acknowledgement demonstrates that the EPA did not intend to conduct a rigorous societal cost-benefit analysis. Instead, the EPA compared in broad strokes the potential impact of the $111 to $171 million annual bill on the hardrock mining industry—more mine closures and bankruptcies and stunted mining development due to lost capital, </w:t>
      </w:r>
      <w:r w:rsidR="00325D50">
        <w:rPr>
          <w:i/>
          <w:iCs/>
          <w:sz w:val="23"/>
          <w:szCs w:val="23"/>
        </w:rPr>
        <w:t>id.</w:t>
      </w:r>
      <w:r w:rsidR="00325D50">
        <w:rPr>
          <w:sz w:val="23"/>
          <w:szCs w:val="23"/>
        </w:rPr>
        <w:t>—to the relatively small benefit to the federal fisc. Such a general comparison is reasonable.</w:t>
      </w:r>
      <w:r w:rsidR="00BE5DE9">
        <w:rPr>
          <w:sz w:val="23"/>
          <w:szCs w:val="23"/>
        </w:rPr>
        <w:t>”</w:t>
      </w:r>
    </w:p>
    <w:p w:rsidR="00325D50" w:rsidRDefault="00325D50">
      <w:pPr>
        <w:rPr>
          <w:sz w:val="23"/>
          <w:szCs w:val="23"/>
        </w:rPr>
      </w:pPr>
    </w:p>
    <w:p w:rsidR="00325D50" w:rsidRDefault="00325D50"/>
    <w:sectPr w:rsidR="00325D50" w:rsidSect="00325D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D7B78"/>
    <w:multiLevelType w:val="multilevel"/>
    <w:tmpl w:val="DD58F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205"/>
    <w:rsid w:val="00083205"/>
    <w:rsid w:val="001C702F"/>
    <w:rsid w:val="00325D50"/>
    <w:rsid w:val="0083634C"/>
    <w:rsid w:val="009F0625"/>
    <w:rsid w:val="00BE5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293F19-418F-43F1-83B7-785AEB66C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trong">
    <w:name w:val="Strong"/>
    <w:basedOn w:val="DefaultParagraphFont"/>
    <w:uiPriority w:val="22"/>
    <w:qFormat/>
    <w:rsid w:val="00325D50"/>
    <w:rPr>
      <w:b/>
      <w:bCs/>
    </w:rPr>
  </w:style>
  <w:style w:type="paragraph" w:styleId="Default" w:customStyle="1">
    <w:name w:val="Default"/>
    <w:rsid w:val="0083634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116961">
      <w:bodyDiv w:val="1"/>
      <w:marLeft w:val="0"/>
      <w:marRight w:val="0"/>
      <w:marTop w:val="0"/>
      <w:marBottom w:val="0"/>
      <w:divBdr>
        <w:top w:val="none" w:sz="0" w:space="0" w:color="auto"/>
        <w:left w:val="none" w:sz="0" w:space="0" w:color="auto"/>
        <w:bottom w:val="none" w:sz="0" w:space="0" w:color="auto"/>
        <w:right w:val="none" w:sz="0" w:space="0" w:color="auto"/>
      </w:divBdr>
      <w:divsChild>
        <w:div w:id="1513304490">
          <w:marLeft w:val="0"/>
          <w:marRight w:val="0"/>
          <w:marTop w:val="0"/>
          <w:marBottom w:val="0"/>
          <w:divBdr>
            <w:top w:val="none" w:sz="0" w:space="0" w:color="auto"/>
            <w:left w:val="none" w:sz="0" w:space="0" w:color="auto"/>
            <w:bottom w:val="none" w:sz="0" w:space="0" w:color="auto"/>
            <w:right w:val="none" w:sz="0" w:space="0" w:color="auto"/>
          </w:divBdr>
          <w:divsChild>
            <w:div w:id="2138795275">
              <w:marLeft w:val="0"/>
              <w:marRight w:val="0"/>
              <w:marTop w:val="0"/>
              <w:marBottom w:val="0"/>
              <w:divBdr>
                <w:top w:val="none" w:sz="0" w:space="0" w:color="auto"/>
                <w:left w:val="none" w:sz="0" w:space="0" w:color="auto"/>
                <w:bottom w:val="none" w:sz="0" w:space="0" w:color="auto"/>
                <w:right w:val="none" w:sz="0" w:space="0" w:color="auto"/>
              </w:divBdr>
              <w:divsChild>
                <w:div w:id="113797631">
                  <w:marLeft w:val="0"/>
                  <w:marRight w:val="0"/>
                  <w:marTop w:val="0"/>
                  <w:marBottom w:val="0"/>
                  <w:divBdr>
                    <w:top w:val="none" w:sz="0" w:space="0" w:color="auto"/>
                    <w:left w:val="none" w:sz="0" w:space="0" w:color="auto"/>
                    <w:bottom w:val="none" w:sz="0" w:space="0" w:color="auto"/>
                    <w:right w:val="none" w:sz="0" w:space="0" w:color="auto"/>
                  </w:divBdr>
                  <w:divsChild>
                    <w:div w:id="749815233">
                      <w:marLeft w:val="0"/>
                      <w:marRight w:val="0"/>
                      <w:marTop w:val="0"/>
                      <w:marBottom w:val="0"/>
                      <w:divBdr>
                        <w:top w:val="none" w:sz="0" w:space="0" w:color="auto"/>
                        <w:left w:val="none" w:sz="0" w:space="0" w:color="auto"/>
                        <w:bottom w:val="none" w:sz="0" w:space="0" w:color="auto"/>
                        <w:right w:val="none" w:sz="0" w:space="0" w:color="auto"/>
                      </w:divBdr>
                      <w:divsChild>
                        <w:div w:id="733161356">
                          <w:marLeft w:val="0"/>
                          <w:marRight w:val="0"/>
                          <w:marTop w:val="0"/>
                          <w:marBottom w:val="0"/>
                          <w:divBdr>
                            <w:top w:val="none" w:sz="0" w:space="0" w:color="auto"/>
                            <w:left w:val="none" w:sz="0" w:space="0" w:color="auto"/>
                            <w:bottom w:val="none" w:sz="0" w:space="0" w:color="auto"/>
                            <w:right w:val="none" w:sz="0" w:space="0" w:color="auto"/>
                          </w:divBdr>
                          <w:divsChild>
                            <w:div w:id="1152723185">
                              <w:marLeft w:val="0"/>
                              <w:marRight w:val="0"/>
                              <w:marTop w:val="0"/>
                              <w:marBottom w:val="0"/>
                              <w:divBdr>
                                <w:top w:val="none" w:sz="0" w:space="0" w:color="auto"/>
                                <w:left w:val="none" w:sz="0" w:space="0" w:color="auto"/>
                                <w:bottom w:val="none" w:sz="0" w:space="0" w:color="auto"/>
                                <w:right w:val="none" w:sz="0" w:space="0" w:color="auto"/>
                              </w:divBdr>
                              <w:divsChild>
                                <w:div w:id="1835490152">
                                  <w:marLeft w:val="0"/>
                                  <w:marRight w:val="0"/>
                                  <w:marTop w:val="0"/>
                                  <w:marBottom w:val="0"/>
                                  <w:divBdr>
                                    <w:top w:val="none" w:sz="0" w:space="0" w:color="auto"/>
                                    <w:left w:val="none" w:sz="0" w:space="0" w:color="auto"/>
                                    <w:bottom w:val="none" w:sz="0" w:space="0" w:color="auto"/>
                                    <w:right w:val="none" w:sz="0" w:space="0" w:color="auto"/>
                                  </w:divBdr>
                                  <w:divsChild>
                                    <w:div w:id="386729567">
                                      <w:marLeft w:val="0"/>
                                      <w:marRight w:val="0"/>
                                      <w:marTop w:val="0"/>
                                      <w:marBottom w:val="0"/>
                                      <w:divBdr>
                                        <w:top w:val="none" w:sz="0" w:space="0" w:color="auto"/>
                                        <w:left w:val="none" w:sz="0" w:space="0" w:color="auto"/>
                                        <w:bottom w:val="none" w:sz="0" w:space="0" w:color="auto"/>
                                        <w:right w:val="none" w:sz="0" w:space="0" w:color="auto"/>
                                      </w:divBdr>
                                      <w:divsChild>
                                        <w:div w:id="1843664067">
                                          <w:marLeft w:val="0"/>
                                          <w:marRight w:val="0"/>
                                          <w:marTop w:val="0"/>
                                          <w:marBottom w:val="0"/>
                                          <w:divBdr>
                                            <w:top w:val="none" w:sz="0" w:space="0" w:color="auto"/>
                                            <w:left w:val="none" w:sz="0" w:space="0" w:color="auto"/>
                                            <w:bottom w:val="none" w:sz="0" w:space="0" w:color="auto"/>
                                            <w:right w:val="none" w:sz="0" w:space="0" w:color="auto"/>
                                          </w:divBdr>
                                          <w:divsChild>
                                            <w:div w:id="1335457142">
                                              <w:marLeft w:val="0"/>
                                              <w:marRight w:val="0"/>
                                              <w:marTop w:val="0"/>
                                              <w:marBottom w:val="0"/>
                                              <w:divBdr>
                                                <w:top w:val="none" w:sz="0" w:space="0" w:color="auto"/>
                                                <w:left w:val="none" w:sz="0" w:space="0" w:color="auto"/>
                                                <w:bottom w:val="none" w:sz="0" w:space="0" w:color="auto"/>
                                                <w:right w:val="none" w:sz="0" w:space="0" w:color="auto"/>
                                              </w:divBdr>
                                              <w:divsChild>
                                                <w:div w:id="670529950">
                                                  <w:marLeft w:val="0"/>
                                                  <w:marRight w:val="0"/>
                                                  <w:marTop w:val="0"/>
                                                  <w:marBottom w:val="0"/>
                                                  <w:divBdr>
                                                    <w:top w:val="none" w:sz="0" w:space="0" w:color="auto"/>
                                                    <w:left w:val="none" w:sz="0" w:space="0" w:color="auto"/>
                                                    <w:bottom w:val="none" w:sz="0" w:space="0" w:color="auto"/>
                                                    <w:right w:val="none" w:sz="0" w:space="0" w:color="auto"/>
                                                  </w:divBdr>
                                                  <w:divsChild>
                                                    <w:div w:id="156089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0</TotalTime>
  <Pages>1</Pages>
  <Words>349</Words>
  <Characters>2603</Characters>
  <Lines>100</Lines>
  <Paragraphs>109</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dcterms:created xsi:type="dcterms:W3CDTF">1900-01-01T06:00:00Z</dcterms:created>
  <dcterms:modified xsi:type="dcterms:W3CDTF">1900-01-01T06:00:00Z</dcterms:modified>
  <cp:lastPrinted>1900-01-01T06:00:00Z</cp:lastPrinted>
</cp:coreProperties>
</file>