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E2" w:rsidRDefault="00A17C3F">
      <w:pPr>
        <w:rPr>
          <w:rFonts w:ascii="Times New Roman" w:hAnsi="Times New Roman" w:cs="Times New Roman"/>
          <w:b/>
          <w:i/>
          <w:sz w:val="24"/>
          <w:szCs w:val="24"/>
        </w:rPr>
      </w:pPr>
      <w:r>
        <w:tab/>
      </w:r>
      <w:r>
        <w:tab/>
      </w:r>
      <w:r w:rsidR="00ED01AC">
        <w:rPr>
          <w:rFonts w:ascii="Times New Roman" w:hAnsi="Times New Roman" w:cs="Times New Roman"/>
          <w:b/>
          <w:i/>
          <w:sz w:val="24"/>
          <w:szCs w:val="24"/>
        </w:rPr>
        <w:t>Internal S</w:t>
      </w:r>
      <w:bookmarkStart w:id="0" w:name="_GoBack"/>
      <w:bookmarkEnd w:id="0"/>
      <w:r w:rsidRPr="00A17C3F">
        <w:rPr>
          <w:rFonts w:ascii="Times New Roman" w:hAnsi="Times New Roman" w:cs="Times New Roman"/>
          <w:b/>
          <w:i/>
          <w:sz w:val="24"/>
          <w:szCs w:val="24"/>
        </w:rPr>
        <w:t>ummary of the June 18-20 E-Manifest Advisory Board Meeting</w:t>
      </w:r>
    </w:p>
    <w:p w:rsidR="00A17C3F" w:rsidRDefault="00A17C3F" w:rsidP="00A17C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EPA developed a White Paper</w:t>
      </w:r>
      <w:r w:rsidR="003756FD">
        <w:rPr>
          <w:rFonts w:ascii="Times New Roman" w:hAnsi="Times New Roman" w:cs="Times New Roman"/>
          <w:sz w:val="24"/>
          <w:szCs w:val="24"/>
        </w:rPr>
        <w:t xml:space="preserve"> (</w:t>
      </w:r>
      <w:hyperlink r:id="rId7" w:history="1">
        <w:r w:rsidR="003756FD" w:rsidRPr="007108F2">
          <w:rPr>
            <w:rStyle w:val="Hyperlink"/>
            <w:rFonts w:ascii="Times New Roman" w:hAnsi="Times New Roman" w:cs="Times New Roman"/>
            <w:sz w:val="24"/>
            <w:szCs w:val="24"/>
          </w:rPr>
          <w:t>https://www.epa.gov/sites/production/files/2019-06/documents/white_paper_advisoryboardjune2019.pdf</w:t>
        </w:r>
      </w:hyperlink>
      <w:r w:rsidR="003756FD">
        <w:t>)</w:t>
      </w:r>
      <w:r>
        <w:rPr>
          <w:rFonts w:ascii="Times New Roman" w:hAnsi="Times New Roman" w:cs="Times New Roman"/>
          <w:sz w:val="24"/>
          <w:szCs w:val="24"/>
        </w:rPr>
        <w:t xml:space="preserve"> ahead of the meeting that address the most pressing problem to be addressed in the meeting discussions: </w:t>
      </w:r>
      <w:r w:rsidRPr="00A17C3F">
        <w:rPr>
          <w:rFonts w:ascii="Times New Roman" w:hAnsi="Times New Roman" w:cs="Times New Roman"/>
          <w:sz w:val="24"/>
          <w:szCs w:val="24"/>
        </w:rPr>
        <w:t xml:space="preserve">Low Adoptions rates </w:t>
      </w:r>
      <w:r>
        <w:rPr>
          <w:rFonts w:ascii="Times New Roman" w:hAnsi="Times New Roman" w:cs="Times New Roman"/>
          <w:sz w:val="24"/>
          <w:szCs w:val="24"/>
        </w:rPr>
        <w:t>for the electronic manifest (fully electronic and hybrid) in the first year of operation</w:t>
      </w:r>
    </w:p>
    <w:p w:rsidR="00A17C3F" w:rsidRDefault="00A17C3F" w:rsidP="00A17C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w:t>
      </w:r>
      <w:r w:rsidRPr="00A17C3F">
        <w:rPr>
          <w:rFonts w:ascii="Times New Roman" w:hAnsi="Times New Roman" w:cs="Times New Roman"/>
          <w:sz w:val="24"/>
          <w:szCs w:val="24"/>
        </w:rPr>
        <w:t>ess than 1 percent of all manifests received from July 2018 through April 2019</w:t>
      </w:r>
      <w:r>
        <w:rPr>
          <w:rFonts w:ascii="Times New Roman" w:hAnsi="Times New Roman" w:cs="Times New Roman"/>
          <w:sz w:val="24"/>
          <w:szCs w:val="24"/>
        </w:rPr>
        <w:t xml:space="preserve"> were electronic</w:t>
      </w:r>
    </w:p>
    <w:p w:rsidR="00B3667E" w:rsidRDefault="00B3667E" w:rsidP="00A17C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vast majority of submissions (75%) have been in the form of data plus image</w:t>
      </w:r>
    </w:p>
    <w:p w:rsidR="00B3667E" w:rsidRDefault="00B3667E" w:rsidP="00A17C3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Other key statistics:</w:t>
      </w:r>
    </w:p>
    <w:p w:rsidR="00B3667E" w:rsidRPr="007E51D1" w:rsidRDefault="00B3667E" w:rsidP="00B3667E">
      <w:pPr>
        <w:pStyle w:val="ListParagraph"/>
        <w:numPr>
          <w:ilvl w:val="2"/>
          <w:numId w:val="2"/>
        </w:numPr>
        <w:rPr>
          <w:rFonts w:ascii="Times New Roman" w:hAnsi="Times New Roman" w:cs="Times New Roman"/>
          <w:sz w:val="24"/>
          <w:szCs w:val="24"/>
        </w:rPr>
      </w:pPr>
      <w:r w:rsidRPr="007E51D1">
        <w:rPr>
          <w:rFonts w:ascii="Times New Roman" w:hAnsi="Times New Roman" w:cs="Times New Roman"/>
          <w:sz w:val="24"/>
          <w:szCs w:val="24"/>
        </w:rPr>
        <w:t xml:space="preserve"> Percentage of manifests that accompanied state-only waste – 35% </w:t>
      </w:r>
    </w:p>
    <w:p w:rsidR="00B3667E" w:rsidRPr="007E51D1" w:rsidRDefault="00B3667E" w:rsidP="00B3667E">
      <w:pPr>
        <w:pStyle w:val="ListParagraph"/>
        <w:numPr>
          <w:ilvl w:val="2"/>
          <w:numId w:val="2"/>
        </w:numPr>
        <w:rPr>
          <w:rFonts w:ascii="Times New Roman" w:hAnsi="Times New Roman" w:cs="Times New Roman"/>
          <w:sz w:val="24"/>
          <w:szCs w:val="24"/>
        </w:rPr>
      </w:pPr>
      <w:r w:rsidRPr="007E51D1">
        <w:rPr>
          <w:rFonts w:ascii="Times New Roman" w:hAnsi="Times New Roman" w:cs="Times New Roman"/>
          <w:sz w:val="24"/>
          <w:szCs w:val="24"/>
        </w:rPr>
        <w:t xml:space="preserve"> Total number of waste handlers involved in paper and fully electronic manifesting under federal and state manifest programs:</w:t>
      </w:r>
    </w:p>
    <w:p w:rsidR="0018213D" w:rsidRPr="007E51D1" w:rsidRDefault="00B3667E" w:rsidP="0018213D">
      <w:pPr>
        <w:pStyle w:val="ListParagraph"/>
        <w:numPr>
          <w:ilvl w:val="3"/>
          <w:numId w:val="2"/>
        </w:numPr>
        <w:rPr>
          <w:rFonts w:ascii="Times New Roman" w:hAnsi="Times New Roman" w:cs="Times New Roman"/>
          <w:sz w:val="24"/>
          <w:szCs w:val="24"/>
        </w:rPr>
      </w:pPr>
      <w:r w:rsidRPr="007E51D1">
        <w:rPr>
          <w:rFonts w:ascii="Times New Roman" w:hAnsi="Times New Roman" w:cs="Times New Roman"/>
          <w:sz w:val="24"/>
          <w:szCs w:val="24"/>
        </w:rPr>
        <w:t xml:space="preserve">Generators 210,849 </w:t>
      </w:r>
    </w:p>
    <w:p w:rsidR="0018213D" w:rsidRPr="007E51D1" w:rsidRDefault="00B3667E" w:rsidP="0018213D">
      <w:pPr>
        <w:pStyle w:val="ListParagraph"/>
        <w:numPr>
          <w:ilvl w:val="3"/>
          <w:numId w:val="2"/>
        </w:numPr>
        <w:rPr>
          <w:rFonts w:ascii="Times New Roman" w:hAnsi="Times New Roman" w:cs="Times New Roman"/>
          <w:sz w:val="24"/>
          <w:szCs w:val="24"/>
        </w:rPr>
      </w:pPr>
      <w:r w:rsidRPr="007E51D1">
        <w:rPr>
          <w:rFonts w:ascii="Times New Roman" w:hAnsi="Times New Roman" w:cs="Times New Roman"/>
          <w:sz w:val="24"/>
          <w:szCs w:val="24"/>
        </w:rPr>
        <w:t xml:space="preserve"> Transporters 4,204 </w:t>
      </w:r>
    </w:p>
    <w:p w:rsidR="0018213D" w:rsidRPr="007E51D1" w:rsidRDefault="00B3667E" w:rsidP="0018213D">
      <w:pPr>
        <w:pStyle w:val="ListParagraph"/>
        <w:numPr>
          <w:ilvl w:val="3"/>
          <w:numId w:val="2"/>
        </w:numPr>
        <w:rPr>
          <w:rFonts w:ascii="Times New Roman" w:hAnsi="Times New Roman" w:cs="Times New Roman"/>
          <w:sz w:val="24"/>
          <w:szCs w:val="24"/>
        </w:rPr>
      </w:pPr>
      <w:r w:rsidRPr="007E51D1">
        <w:rPr>
          <w:rFonts w:ascii="Times New Roman" w:hAnsi="Times New Roman" w:cs="Times New Roman"/>
          <w:sz w:val="24"/>
          <w:szCs w:val="24"/>
        </w:rPr>
        <w:t xml:space="preserve"> Receiving Facilities 624 </w:t>
      </w:r>
    </w:p>
    <w:p w:rsidR="0018213D" w:rsidRPr="007E51D1" w:rsidRDefault="00B3667E" w:rsidP="0018213D">
      <w:pPr>
        <w:pStyle w:val="ListParagraph"/>
        <w:numPr>
          <w:ilvl w:val="3"/>
          <w:numId w:val="2"/>
        </w:numPr>
        <w:rPr>
          <w:rFonts w:ascii="Times New Roman" w:hAnsi="Times New Roman" w:cs="Times New Roman"/>
          <w:sz w:val="24"/>
          <w:szCs w:val="24"/>
        </w:rPr>
      </w:pPr>
      <w:r w:rsidRPr="007E51D1">
        <w:rPr>
          <w:rFonts w:ascii="Times New Roman" w:hAnsi="Times New Roman" w:cs="Times New Roman"/>
          <w:sz w:val="24"/>
          <w:szCs w:val="24"/>
        </w:rPr>
        <w:t xml:space="preserve"> Percentage of those generators, transporters and receiving facilities using fully electronic manifests </w:t>
      </w:r>
    </w:p>
    <w:p w:rsidR="0018213D" w:rsidRPr="007E51D1" w:rsidRDefault="00B3667E" w:rsidP="0018213D">
      <w:pPr>
        <w:pStyle w:val="ListParagraph"/>
        <w:numPr>
          <w:ilvl w:val="3"/>
          <w:numId w:val="2"/>
        </w:numPr>
        <w:rPr>
          <w:rFonts w:ascii="Times New Roman" w:hAnsi="Times New Roman" w:cs="Times New Roman"/>
          <w:sz w:val="24"/>
          <w:szCs w:val="24"/>
        </w:rPr>
      </w:pPr>
      <w:r w:rsidRPr="007E51D1">
        <w:rPr>
          <w:rFonts w:ascii="Times New Roman" w:hAnsi="Times New Roman" w:cs="Times New Roman"/>
          <w:sz w:val="24"/>
          <w:szCs w:val="24"/>
        </w:rPr>
        <w:t xml:space="preserve"> Generators ~0% </w:t>
      </w:r>
    </w:p>
    <w:p w:rsidR="0018213D" w:rsidRPr="007E51D1" w:rsidRDefault="00B3667E" w:rsidP="0018213D">
      <w:pPr>
        <w:pStyle w:val="ListParagraph"/>
        <w:numPr>
          <w:ilvl w:val="3"/>
          <w:numId w:val="2"/>
        </w:numPr>
        <w:rPr>
          <w:rFonts w:ascii="Times New Roman" w:hAnsi="Times New Roman" w:cs="Times New Roman"/>
          <w:sz w:val="24"/>
          <w:szCs w:val="24"/>
        </w:rPr>
      </w:pPr>
      <w:r w:rsidRPr="007E51D1">
        <w:rPr>
          <w:rFonts w:ascii="Times New Roman" w:hAnsi="Times New Roman" w:cs="Times New Roman"/>
          <w:sz w:val="24"/>
          <w:szCs w:val="24"/>
        </w:rPr>
        <w:t xml:space="preserve"> Transporters ~0% </w:t>
      </w:r>
    </w:p>
    <w:p w:rsidR="00B3667E" w:rsidRPr="007E51D1" w:rsidRDefault="00B3667E" w:rsidP="0018213D">
      <w:pPr>
        <w:pStyle w:val="ListParagraph"/>
        <w:numPr>
          <w:ilvl w:val="3"/>
          <w:numId w:val="2"/>
        </w:numPr>
        <w:rPr>
          <w:rFonts w:ascii="Times New Roman" w:hAnsi="Times New Roman" w:cs="Times New Roman"/>
          <w:sz w:val="24"/>
          <w:szCs w:val="24"/>
        </w:rPr>
      </w:pPr>
      <w:r w:rsidRPr="007E51D1">
        <w:rPr>
          <w:rFonts w:ascii="Times New Roman" w:hAnsi="Times New Roman" w:cs="Times New Roman"/>
          <w:sz w:val="24"/>
          <w:szCs w:val="24"/>
        </w:rPr>
        <w:t xml:space="preserve"> Receiving Facilities 10%</w:t>
      </w:r>
    </w:p>
    <w:p w:rsidR="00494C1B" w:rsidRPr="007108F2" w:rsidRDefault="00494C1B" w:rsidP="00A17C3F">
      <w:pPr>
        <w:pStyle w:val="ListParagraph"/>
        <w:numPr>
          <w:ilvl w:val="1"/>
          <w:numId w:val="2"/>
        </w:numPr>
        <w:rPr>
          <w:rFonts w:ascii="Times New Roman" w:hAnsi="Times New Roman" w:cs="Times New Roman"/>
          <w:i/>
          <w:sz w:val="24"/>
          <w:szCs w:val="24"/>
          <w:u w:val="single"/>
        </w:rPr>
      </w:pPr>
      <w:r w:rsidRPr="007108F2">
        <w:rPr>
          <w:rFonts w:ascii="Times New Roman" w:hAnsi="Times New Roman" w:cs="Times New Roman"/>
          <w:i/>
          <w:sz w:val="24"/>
          <w:szCs w:val="24"/>
          <w:u w:val="single"/>
        </w:rPr>
        <w:t>Much higher adoption rates are necessary to realize the benefits of more timely and accurate data and significant cost savings associated with the e-Manifest program</w:t>
      </w:r>
    </w:p>
    <w:p w:rsidR="009244B7" w:rsidRDefault="009244B7" w:rsidP="009244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EPA understands the disincentives it faces: </w:t>
      </w:r>
    </w:p>
    <w:p w:rsidR="009244B7" w:rsidRDefault="009244B7" w:rsidP="009244B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“With the paper manifest, </w:t>
      </w:r>
      <w:r w:rsidRPr="009244B7">
        <w:rPr>
          <w:rFonts w:ascii="Times New Roman" w:hAnsi="Times New Roman" w:cs="Times New Roman"/>
          <w:sz w:val="24"/>
          <w:szCs w:val="24"/>
        </w:rPr>
        <w:t>the actual signature process performed by waste handlers at the time of waste custody transfers is simple to accomplish as it only requires signing the manifest</w:t>
      </w:r>
      <w:r>
        <w:rPr>
          <w:rFonts w:ascii="Times New Roman" w:hAnsi="Times New Roman" w:cs="Times New Roman"/>
          <w:sz w:val="24"/>
          <w:szCs w:val="24"/>
        </w:rPr>
        <w:t>”</w:t>
      </w:r>
    </w:p>
    <w:p w:rsidR="00494C1B" w:rsidRDefault="009244B7" w:rsidP="009244B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t>
      </w:r>
      <w:r w:rsidRPr="009244B7">
        <w:rPr>
          <w:rFonts w:ascii="Times New Roman" w:hAnsi="Times New Roman" w:cs="Times New Roman"/>
          <w:sz w:val="24"/>
          <w:szCs w:val="24"/>
        </w:rPr>
        <w:t>By contrast</w:t>
      </w:r>
      <w:r>
        <w:rPr>
          <w:rFonts w:ascii="Times New Roman" w:hAnsi="Times New Roman" w:cs="Times New Roman"/>
          <w:sz w:val="24"/>
          <w:szCs w:val="24"/>
        </w:rPr>
        <w:t>,</w:t>
      </w:r>
      <w:r w:rsidRPr="009244B7">
        <w:rPr>
          <w:rFonts w:ascii="Times New Roman" w:hAnsi="Times New Roman" w:cs="Times New Roman"/>
          <w:sz w:val="24"/>
          <w:szCs w:val="24"/>
        </w:rPr>
        <w:t xml:space="preserve"> some implementations of electronic reporting require pre-enrollment, registration, identity proofing, passwords, challenge questions to answer while signing the form, network access at the time of signature, and post-signature monitoring of out-of-band email addresses for evidence of unauthorized activity invol</w:t>
      </w:r>
      <w:r>
        <w:rPr>
          <w:rFonts w:ascii="Times New Roman" w:hAnsi="Times New Roman" w:cs="Times New Roman"/>
          <w:sz w:val="24"/>
          <w:szCs w:val="24"/>
        </w:rPr>
        <w:t>ving one’s electronic signature”</w:t>
      </w:r>
    </w:p>
    <w:p w:rsidR="009244B7" w:rsidRDefault="009244B7" w:rsidP="009244B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w:t>
      </w:r>
      <w:r w:rsidRPr="009244B7">
        <w:rPr>
          <w:rFonts w:ascii="Times New Roman" w:hAnsi="Times New Roman" w:cs="Times New Roman"/>
          <w:sz w:val="24"/>
          <w:szCs w:val="24"/>
        </w:rPr>
        <w:t>hese differences are magnified by the fact that every manifest requires at least three signatures (generator, transporter, and receiving facility) to be executed sequentially over the cours</w:t>
      </w:r>
      <w:r>
        <w:rPr>
          <w:rFonts w:ascii="Times New Roman" w:hAnsi="Times New Roman" w:cs="Times New Roman"/>
          <w:sz w:val="24"/>
          <w:szCs w:val="24"/>
        </w:rPr>
        <w:t>e of a hazardous waste shipment”</w:t>
      </w:r>
    </w:p>
    <w:p w:rsidR="009244B7" w:rsidRDefault="009244B7" w:rsidP="009244B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They recognize the presence of intermediate handlers makes this process </w:t>
      </w:r>
      <w:r w:rsidR="00B3667E">
        <w:rPr>
          <w:rFonts w:ascii="Times New Roman" w:hAnsi="Times New Roman" w:cs="Times New Roman"/>
          <w:sz w:val="24"/>
          <w:szCs w:val="24"/>
        </w:rPr>
        <w:t>even more complex</w:t>
      </w:r>
    </w:p>
    <w:p w:rsidR="00B3667E" w:rsidRDefault="00B3667E" w:rsidP="009244B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“T</w:t>
      </w:r>
      <w:r w:rsidRPr="00B3667E">
        <w:rPr>
          <w:rFonts w:ascii="Times New Roman" w:hAnsi="Times New Roman" w:cs="Times New Roman"/>
          <w:sz w:val="24"/>
          <w:szCs w:val="24"/>
        </w:rPr>
        <w:t>he signatures that occur in the field are executed at locations such as loading docks and transport vehicles. These locations do not always have the network access that some system architectures require to receive and verify electronic signatures in real time</w:t>
      </w:r>
      <w:r>
        <w:rPr>
          <w:rFonts w:ascii="Times New Roman" w:hAnsi="Times New Roman" w:cs="Times New Roman"/>
          <w:sz w:val="24"/>
          <w:szCs w:val="24"/>
        </w:rPr>
        <w:t>”</w:t>
      </w:r>
      <w:r w:rsidRPr="00B3667E">
        <w:rPr>
          <w:rFonts w:ascii="Times New Roman" w:hAnsi="Times New Roman" w:cs="Times New Roman"/>
          <w:sz w:val="24"/>
          <w:szCs w:val="24"/>
        </w:rPr>
        <w:t xml:space="preserve"> </w:t>
      </w:r>
    </w:p>
    <w:p w:rsidR="00B3667E" w:rsidRDefault="00B3667E" w:rsidP="009244B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t>
      </w:r>
      <w:r w:rsidRPr="00B3667E">
        <w:rPr>
          <w:rFonts w:ascii="Times New Roman" w:hAnsi="Times New Roman" w:cs="Times New Roman"/>
          <w:sz w:val="24"/>
          <w:szCs w:val="24"/>
        </w:rPr>
        <w:t>The generators and transporters have also told EPA that they experience significant turnover with their personnel, which makes more challenging the training, registration, and identity proofing methods involved in the current e-Manifest system architecture</w:t>
      </w:r>
      <w:r>
        <w:rPr>
          <w:rFonts w:ascii="Times New Roman" w:hAnsi="Times New Roman" w:cs="Times New Roman"/>
          <w:sz w:val="24"/>
          <w:szCs w:val="24"/>
        </w:rPr>
        <w:t>”</w:t>
      </w:r>
      <w:r w:rsidRPr="00B3667E">
        <w:rPr>
          <w:rFonts w:ascii="Times New Roman" w:hAnsi="Times New Roman" w:cs="Times New Roman"/>
          <w:sz w:val="24"/>
          <w:szCs w:val="24"/>
        </w:rPr>
        <w:t xml:space="preserve"> </w:t>
      </w:r>
    </w:p>
    <w:p w:rsidR="00B3667E" w:rsidRDefault="00B3667E" w:rsidP="009244B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t>
      </w:r>
      <w:r w:rsidRPr="00B3667E">
        <w:rPr>
          <w:rFonts w:ascii="Times New Roman" w:hAnsi="Times New Roman" w:cs="Times New Roman"/>
          <w:sz w:val="24"/>
          <w:szCs w:val="24"/>
        </w:rPr>
        <w:t>Adding to these challenges, the Department of Transportation (DOT) still requires that one hard copy of the hazmat shipping document be carried on transport vehicles t</w:t>
      </w:r>
      <w:r>
        <w:rPr>
          <w:rFonts w:ascii="Times New Roman" w:hAnsi="Times New Roman" w:cs="Times New Roman"/>
          <w:sz w:val="24"/>
          <w:szCs w:val="24"/>
        </w:rPr>
        <w:t>o facilitate emergency response”</w:t>
      </w:r>
    </w:p>
    <w:p w:rsidR="0018213D" w:rsidRDefault="003756FD" w:rsidP="0018213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EPA </w:t>
      </w:r>
      <w:r w:rsidR="0018213D">
        <w:rPr>
          <w:rFonts w:ascii="Times New Roman" w:hAnsi="Times New Roman" w:cs="Times New Roman"/>
          <w:sz w:val="24"/>
          <w:szCs w:val="24"/>
        </w:rPr>
        <w:t xml:space="preserve">Solutions </w:t>
      </w:r>
    </w:p>
    <w:p w:rsidR="0018213D" w:rsidRDefault="0018213D" w:rsidP="0018213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New functionalities planned for development in the coming months:</w:t>
      </w:r>
    </w:p>
    <w:p w:rsidR="0018213D" w:rsidRPr="007E51D1" w:rsidRDefault="0018213D" w:rsidP="0018213D">
      <w:pPr>
        <w:pStyle w:val="ListParagraph"/>
        <w:numPr>
          <w:ilvl w:val="2"/>
          <w:numId w:val="2"/>
        </w:numPr>
        <w:rPr>
          <w:rFonts w:ascii="Times New Roman" w:hAnsi="Times New Roman" w:cs="Times New Roman"/>
          <w:sz w:val="24"/>
          <w:szCs w:val="24"/>
        </w:rPr>
      </w:pPr>
      <w:r w:rsidRPr="007E51D1">
        <w:rPr>
          <w:rFonts w:ascii="Times New Roman" w:hAnsi="Times New Roman" w:cs="Times New Roman"/>
          <w:sz w:val="24"/>
          <w:szCs w:val="24"/>
        </w:rPr>
        <w:t xml:space="preserve">Industry </w:t>
      </w:r>
    </w:p>
    <w:p w:rsidR="0018213D" w:rsidRPr="007E51D1" w:rsidRDefault="0018213D" w:rsidP="0018213D">
      <w:pPr>
        <w:pStyle w:val="ListParagraph"/>
        <w:numPr>
          <w:ilvl w:val="3"/>
          <w:numId w:val="2"/>
        </w:numPr>
        <w:rPr>
          <w:rFonts w:ascii="Times New Roman" w:hAnsi="Times New Roman" w:cs="Times New Roman"/>
          <w:sz w:val="24"/>
          <w:szCs w:val="24"/>
        </w:rPr>
      </w:pPr>
      <w:r w:rsidRPr="007E51D1">
        <w:rPr>
          <w:rFonts w:ascii="Times New Roman" w:hAnsi="Times New Roman" w:cs="Times New Roman"/>
          <w:sz w:val="24"/>
          <w:szCs w:val="24"/>
        </w:rPr>
        <w:t xml:space="preserve"> Transporter and Broker to create a manifest </w:t>
      </w:r>
    </w:p>
    <w:p w:rsidR="0018213D" w:rsidRPr="007E51D1" w:rsidRDefault="0018213D" w:rsidP="0018213D">
      <w:pPr>
        <w:pStyle w:val="ListParagraph"/>
        <w:numPr>
          <w:ilvl w:val="3"/>
          <w:numId w:val="2"/>
        </w:numPr>
        <w:rPr>
          <w:rFonts w:ascii="Times New Roman" w:hAnsi="Times New Roman" w:cs="Times New Roman"/>
          <w:sz w:val="24"/>
          <w:szCs w:val="24"/>
        </w:rPr>
      </w:pPr>
      <w:r w:rsidRPr="007E51D1">
        <w:rPr>
          <w:rFonts w:ascii="Times New Roman" w:hAnsi="Times New Roman" w:cs="Times New Roman"/>
          <w:sz w:val="24"/>
          <w:szCs w:val="24"/>
        </w:rPr>
        <w:t xml:space="preserve"> In-transit shipping changes </w:t>
      </w:r>
    </w:p>
    <w:p w:rsidR="0018213D" w:rsidRPr="007E51D1" w:rsidRDefault="0018213D" w:rsidP="0018213D">
      <w:pPr>
        <w:pStyle w:val="ListParagraph"/>
        <w:numPr>
          <w:ilvl w:val="3"/>
          <w:numId w:val="2"/>
        </w:numPr>
        <w:rPr>
          <w:rFonts w:ascii="Times New Roman" w:hAnsi="Times New Roman" w:cs="Times New Roman"/>
          <w:sz w:val="24"/>
          <w:szCs w:val="24"/>
        </w:rPr>
      </w:pPr>
      <w:r w:rsidRPr="007E51D1">
        <w:rPr>
          <w:rFonts w:ascii="Times New Roman" w:hAnsi="Times New Roman" w:cs="Times New Roman"/>
          <w:sz w:val="24"/>
          <w:szCs w:val="24"/>
        </w:rPr>
        <w:t xml:space="preserve"> Notifications and bulk signature enhancements </w:t>
      </w:r>
    </w:p>
    <w:p w:rsidR="0018213D" w:rsidRPr="007E51D1" w:rsidRDefault="003756FD" w:rsidP="0018213D">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 xml:space="preserve"> 3</w:t>
      </w:r>
      <w:r w:rsidR="0018213D" w:rsidRPr="007E51D1">
        <w:rPr>
          <w:rFonts w:ascii="Times New Roman" w:hAnsi="Times New Roman" w:cs="Times New Roman"/>
          <w:sz w:val="24"/>
          <w:szCs w:val="24"/>
        </w:rPr>
        <w:t>rd-party signature intake (</w:t>
      </w:r>
      <w:r>
        <w:rPr>
          <w:rFonts w:ascii="Times New Roman" w:hAnsi="Times New Roman" w:cs="Times New Roman"/>
          <w:sz w:val="24"/>
          <w:szCs w:val="24"/>
        </w:rPr>
        <w:t>see White P</w:t>
      </w:r>
      <w:r w:rsidR="0018213D" w:rsidRPr="007E51D1">
        <w:rPr>
          <w:rFonts w:ascii="Times New Roman" w:hAnsi="Times New Roman" w:cs="Times New Roman"/>
          <w:sz w:val="24"/>
          <w:szCs w:val="24"/>
        </w:rPr>
        <w:t>aper for limitations faced)</w:t>
      </w:r>
    </w:p>
    <w:p w:rsidR="0018213D" w:rsidRPr="007E51D1" w:rsidRDefault="0018213D" w:rsidP="0018213D">
      <w:pPr>
        <w:pStyle w:val="ListParagraph"/>
        <w:numPr>
          <w:ilvl w:val="2"/>
          <w:numId w:val="2"/>
        </w:numPr>
        <w:rPr>
          <w:rFonts w:ascii="Times New Roman" w:hAnsi="Times New Roman" w:cs="Times New Roman"/>
          <w:sz w:val="24"/>
          <w:szCs w:val="24"/>
        </w:rPr>
      </w:pPr>
      <w:r w:rsidRPr="007E51D1">
        <w:rPr>
          <w:rFonts w:ascii="Times New Roman" w:hAnsi="Times New Roman" w:cs="Times New Roman"/>
          <w:sz w:val="24"/>
          <w:szCs w:val="24"/>
        </w:rPr>
        <w:t xml:space="preserve"> State Users </w:t>
      </w:r>
    </w:p>
    <w:p w:rsidR="0018213D" w:rsidRPr="007E51D1" w:rsidRDefault="0018213D" w:rsidP="0018213D">
      <w:pPr>
        <w:pStyle w:val="ListParagraph"/>
        <w:numPr>
          <w:ilvl w:val="3"/>
          <w:numId w:val="2"/>
        </w:numPr>
        <w:rPr>
          <w:rFonts w:ascii="Times New Roman" w:hAnsi="Times New Roman" w:cs="Times New Roman"/>
          <w:sz w:val="24"/>
          <w:szCs w:val="24"/>
        </w:rPr>
      </w:pPr>
      <w:r w:rsidRPr="007E51D1">
        <w:rPr>
          <w:rFonts w:ascii="Times New Roman" w:hAnsi="Times New Roman" w:cs="Times New Roman"/>
          <w:sz w:val="24"/>
          <w:szCs w:val="24"/>
        </w:rPr>
        <w:t xml:space="preserve"> Additional state reports </w:t>
      </w:r>
    </w:p>
    <w:p w:rsidR="0018213D" w:rsidRPr="007E51D1" w:rsidRDefault="0018213D" w:rsidP="0018213D">
      <w:pPr>
        <w:pStyle w:val="ListParagraph"/>
        <w:numPr>
          <w:ilvl w:val="3"/>
          <w:numId w:val="2"/>
        </w:numPr>
        <w:rPr>
          <w:rFonts w:ascii="Times New Roman" w:hAnsi="Times New Roman" w:cs="Times New Roman"/>
          <w:sz w:val="24"/>
          <w:szCs w:val="24"/>
        </w:rPr>
      </w:pPr>
      <w:r w:rsidRPr="007E51D1">
        <w:rPr>
          <w:rFonts w:ascii="Times New Roman" w:hAnsi="Times New Roman" w:cs="Times New Roman"/>
          <w:sz w:val="24"/>
          <w:szCs w:val="24"/>
        </w:rPr>
        <w:t xml:space="preserve"> Ability for state user to correct a manifest</w:t>
      </w:r>
    </w:p>
    <w:p w:rsidR="007E51D1" w:rsidRDefault="007E51D1" w:rsidP="007E51D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EPA is examining how to navigate the requirements established by CROMERR (see White Paper) for producing legally defensible chain-of-custody of shipments</w:t>
      </w:r>
    </w:p>
    <w:p w:rsidR="007E51D1" w:rsidRDefault="007E51D1" w:rsidP="007E51D1">
      <w:pPr>
        <w:pStyle w:val="ListParagraph"/>
        <w:numPr>
          <w:ilvl w:val="2"/>
          <w:numId w:val="2"/>
        </w:numPr>
        <w:rPr>
          <w:rFonts w:ascii="Times New Roman" w:hAnsi="Times New Roman" w:cs="Times New Roman"/>
          <w:sz w:val="24"/>
          <w:szCs w:val="24"/>
        </w:rPr>
      </w:pPr>
      <w:r w:rsidRPr="007E51D1">
        <w:rPr>
          <w:rFonts w:ascii="Times New Roman" w:hAnsi="Times New Roman" w:cs="Times New Roman"/>
          <w:sz w:val="24"/>
          <w:szCs w:val="24"/>
        </w:rPr>
        <w:t>EPA has already evaluated and approved an approach whereby digitizing pads can be used to collect offline signatures from individuals who are not already known to the electronic reporting system</w:t>
      </w:r>
    </w:p>
    <w:p w:rsidR="007E51D1" w:rsidRDefault="007E51D1" w:rsidP="007E51D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EPA has received and is considering how it might use suggested approaches by the user community including:</w:t>
      </w:r>
      <w:r w:rsidR="008C405E">
        <w:rPr>
          <w:rFonts w:ascii="Times New Roman" w:hAnsi="Times New Roman" w:cs="Times New Roman"/>
          <w:sz w:val="24"/>
          <w:szCs w:val="24"/>
        </w:rPr>
        <w:t xml:space="preserve"> user registration without creating the standard CDX user account; biometrics/3</w:t>
      </w:r>
      <w:r w:rsidR="008C405E" w:rsidRPr="008C405E">
        <w:rPr>
          <w:rFonts w:ascii="Times New Roman" w:hAnsi="Times New Roman" w:cs="Times New Roman"/>
          <w:sz w:val="24"/>
          <w:szCs w:val="24"/>
          <w:vertAlign w:val="superscript"/>
        </w:rPr>
        <w:t>rd</w:t>
      </w:r>
      <w:r w:rsidR="008C405E">
        <w:rPr>
          <w:rFonts w:ascii="Times New Roman" w:hAnsi="Times New Roman" w:cs="Times New Roman"/>
          <w:sz w:val="24"/>
          <w:szCs w:val="24"/>
        </w:rPr>
        <w:t xml:space="preserve"> party applications; an external authorization process for receiving facilities and rail; and off-line signatures</w:t>
      </w:r>
    </w:p>
    <w:p w:rsidR="008D09A8" w:rsidRPr="003756FD" w:rsidRDefault="008D09A8" w:rsidP="007E51D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current state of play for each of these options is described in the White Paper: </w:t>
      </w:r>
      <w:r w:rsidR="003756FD" w:rsidRPr="003756FD">
        <w:rPr>
          <w:rFonts w:ascii="Times New Roman" w:hAnsi="Times New Roman" w:cs="Times New Roman"/>
          <w:i/>
          <w:sz w:val="24"/>
          <w:szCs w:val="24"/>
          <w:u w:val="single"/>
        </w:rPr>
        <w:t xml:space="preserve">some </w:t>
      </w:r>
      <w:r w:rsidRPr="003756FD">
        <w:rPr>
          <w:rFonts w:ascii="Times New Roman" w:hAnsi="Times New Roman" w:cs="Times New Roman"/>
          <w:i/>
          <w:sz w:val="24"/>
          <w:szCs w:val="24"/>
          <w:u w:val="single"/>
        </w:rPr>
        <w:t>options for alternate user registration and external authorizations already exist an</w:t>
      </w:r>
      <w:r w:rsidR="007108F2">
        <w:rPr>
          <w:rFonts w:ascii="Times New Roman" w:hAnsi="Times New Roman" w:cs="Times New Roman"/>
          <w:i/>
          <w:sz w:val="24"/>
          <w:szCs w:val="24"/>
          <w:u w:val="single"/>
        </w:rPr>
        <w:t>d</w:t>
      </w:r>
      <w:r w:rsidRPr="003756FD">
        <w:rPr>
          <w:rFonts w:ascii="Times New Roman" w:hAnsi="Times New Roman" w:cs="Times New Roman"/>
          <w:i/>
          <w:sz w:val="24"/>
          <w:szCs w:val="24"/>
          <w:u w:val="single"/>
        </w:rPr>
        <w:t xml:space="preserve"> options for approval of others can be submitted and approved</w:t>
      </w:r>
    </w:p>
    <w:p w:rsidR="003756FD" w:rsidRDefault="003756FD" w:rsidP="007E51D1">
      <w:pPr>
        <w:pStyle w:val="ListParagraph"/>
        <w:numPr>
          <w:ilvl w:val="2"/>
          <w:numId w:val="2"/>
        </w:numPr>
        <w:rPr>
          <w:rFonts w:ascii="Times New Roman" w:hAnsi="Times New Roman" w:cs="Times New Roman"/>
          <w:sz w:val="24"/>
          <w:szCs w:val="24"/>
        </w:rPr>
      </w:pPr>
      <w:r>
        <w:rPr>
          <w:rFonts w:ascii="Times New Roman" w:hAnsi="Times New Roman" w:cs="Times New Roman"/>
          <w:i/>
          <w:sz w:val="24"/>
          <w:szCs w:val="24"/>
          <w:u w:val="single"/>
        </w:rPr>
        <w:t>Estimated times for approval of CROMERR alternatives have been reduced to 1-3 months</w:t>
      </w:r>
      <w:r>
        <w:rPr>
          <w:rFonts w:ascii="Times New Roman" w:hAnsi="Times New Roman" w:cs="Times New Roman"/>
          <w:sz w:val="24"/>
          <w:szCs w:val="24"/>
        </w:rPr>
        <w:t xml:space="preserve"> (See White Paper for the discussion)</w:t>
      </w:r>
    </w:p>
    <w:p w:rsidR="003756FD" w:rsidRDefault="003756FD" w:rsidP="003756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Key comments</w:t>
      </w:r>
      <w:r w:rsidR="002B4899">
        <w:rPr>
          <w:rFonts w:ascii="Times New Roman" w:hAnsi="Times New Roman" w:cs="Times New Roman"/>
          <w:sz w:val="24"/>
          <w:szCs w:val="24"/>
        </w:rPr>
        <w:t xml:space="preserve"> from State of Minnesota Board</w:t>
      </w:r>
      <w:r w:rsidR="007108F2">
        <w:rPr>
          <w:rFonts w:ascii="Times New Roman" w:hAnsi="Times New Roman" w:cs="Times New Roman"/>
          <w:sz w:val="24"/>
          <w:szCs w:val="24"/>
        </w:rPr>
        <w:t xml:space="preserve"> Member (Joshua Burman) at the m</w:t>
      </w:r>
      <w:r w:rsidR="002B4899">
        <w:rPr>
          <w:rFonts w:ascii="Times New Roman" w:hAnsi="Times New Roman" w:cs="Times New Roman"/>
          <w:sz w:val="24"/>
          <w:szCs w:val="24"/>
        </w:rPr>
        <w:t>eeting</w:t>
      </w:r>
      <w:r w:rsidR="007108F2">
        <w:rPr>
          <w:rFonts w:ascii="Times New Roman" w:hAnsi="Times New Roman" w:cs="Times New Roman"/>
          <w:sz w:val="24"/>
          <w:szCs w:val="24"/>
        </w:rPr>
        <w:t>’s</w:t>
      </w:r>
      <w:r w:rsidR="002B4899">
        <w:rPr>
          <w:rFonts w:ascii="Times New Roman" w:hAnsi="Times New Roman" w:cs="Times New Roman"/>
          <w:sz w:val="24"/>
          <w:szCs w:val="24"/>
        </w:rPr>
        <w:t xml:space="preserve"> </w:t>
      </w:r>
      <w:r w:rsidR="007108F2">
        <w:rPr>
          <w:rFonts w:ascii="Times New Roman" w:hAnsi="Times New Roman" w:cs="Times New Roman"/>
          <w:sz w:val="24"/>
          <w:szCs w:val="24"/>
        </w:rPr>
        <w:t>c</w:t>
      </w:r>
      <w:r w:rsidR="002B4899">
        <w:rPr>
          <w:rFonts w:ascii="Times New Roman" w:hAnsi="Times New Roman" w:cs="Times New Roman"/>
          <w:sz w:val="24"/>
          <w:szCs w:val="24"/>
        </w:rPr>
        <w:t>onclusion</w:t>
      </w:r>
      <w:r w:rsidR="007108F2">
        <w:rPr>
          <w:rFonts w:ascii="Times New Roman" w:hAnsi="Times New Roman" w:cs="Times New Roman"/>
          <w:sz w:val="24"/>
          <w:szCs w:val="24"/>
        </w:rPr>
        <w:t xml:space="preserve"> (none of the others provided conclusion comments at the end)</w:t>
      </w:r>
    </w:p>
    <w:p w:rsidR="007108F2" w:rsidRDefault="007108F2" w:rsidP="002B4899">
      <w:pPr>
        <w:pStyle w:val="ListParagraph"/>
        <w:numPr>
          <w:ilvl w:val="1"/>
          <w:numId w:val="2"/>
        </w:numPr>
        <w:rPr>
          <w:rFonts w:ascii="Times New Roman" w:hAnsi="Times New Roman" w:cs="Times New Roman"/>
          <w:sz w:val="24"/>
          <w:szCs w:val="24"/>
        </w:rPr>
      </w:pPr>
    </w:p>
    <w:p w:rsidR="007108F2" w:rsidRDefault="007108F2" w:rsidP="002B489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Endorsed EPA work on alternatives</w:t>
      </w:r>
    </w:p>
    <w:p w:rsidR="003756FD" w:rsidRDefault="002B4899" w:rsidP="002B489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EPA should push for data plus image submissions and eliminate the scan-only option</w:t>
      </w:r>
    </w:p>
    <w:p w:rsidR="002B4899" w:rsidRDefault="002B4899" w:rsidP="002B489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Sunset the hybrid manifest when reasonable alternative exist and notify entire listserv when that assessment is reached</w:t>
      </w:r>
    </w:p>
    <w:p w:rsidR="002B4899" w:rsidRDefault="002B4899" w:rsidP="002B4899">
      <w:pPr>
        <w:pStyle w:val="ListParagraph"/>
        <w:numPr>
          <w:ilvl w:val="1"/>
          <w:numId w:val="2"/>
        </w:numPr>
        <w:rPr>
          <w:rFonts w:ascii="Times New Roman" w:hAnsi="Times New Roman" w:cs="Times New Roman"/>
          <w:sz w:val="24"/>
          <w:szCs w:val="24"/>
        </w:rPr>
      </w:pPr>
      <w:proofErr w:type="spellStart"/>
      <w:r>
        <w:rPr>
          <w:rFonts w:ascii="Times New Roman" w:hAnsi="Times New Roman" w:cs="Times New Roman"/>
          <w:sz w:val="24"/>
          <w:szCs w:val="24"/>
        </w:rPr>
        <w:t>Autolinking</w:t>
      </w:r>
      <w:proofErr w:type="spellEnd"/>
      <w:r>
        <w:rPr>
          <w:rFonts w:ascii="Times New Roman" w:hAnsi="Times New Roman" w:cs="Times New Roman"/>
          <w:sz w:val="24"/>
          <w:szCs w:val="24"/>
        </w:rPr>
        <w:t>: automatic invitation</w:t>
      </w:r>
      <w:r w:rsidR="00463A69">
        <w:rPr>
          <w:rFonts w:ascii="Times New Roman" w:hAnsi="Times New Roman" w:cs="Times New Roman"/>
          <w:sz w:val="24"/>
          <w:szCs w:val="24"/>
        </w:rPr>
        <w:t xml:space="preserve"> from EPA</w:t>
      </w:r>
      <w:r>
        <w:rPr>
          <w:rFonts w:ascii="Times New Roman" w:hAnsi="Times New Roman" w:cs="Times New Roman"/>
          <w:sz w:val="24"/>
          <w:szCs w:val="24"/>
        </w:rPr>
        <w:t xml:space="preserve"> into electronic system after a hard copy submission rather than</w:t>
      </w:r>
      <w:r w:rsidR="00463A69">
        <w:rPr>
          <w:rFonts w:ascii="Times New Roman" w:hAnsi="Times New Roman" w:cs="Times New Roman"/>
          <w:sz w:val="24"/>
          <w:szCs w:val="24"/>
        </w:rPr>
        <w:t xml:space="preserve"> requiring receiving facilities to push this with their customers</w:t>
      </w:r>
    </w:p>
    <w:p w:rsidR="00463A69" w:rsidRDefault="00463A69" w:rsidP="002B489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Weekly compilation of manifests received by TSDs to generators to allow for reasonable process for exception reports</w:t>
      </w:r>
    </w:p>
    <w:p w:rsidR="00463A69" w:rsidRDefault="00463A69" w:rsidP="002B489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Force elimination of paper reports and make some adjustments that help that goal:</w:t>
      </w:r>
    </w:p>
    <w:p w:rsidR="00463A69" w:rsidRDefault="00463A69" w:rsidP="00463A6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Review signature requirements that may stand in the way of electronic signatures (e.g., waste minimization certification)</w:t>
      </w:r>
    </w:p>
    <w:p w:rsidR="00463A69" w:rsidRPr="00A17C3F" w:rsidRDefault="00463A69" w:rsidP="00463A69">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Eliminate the need for 3 copies of the manifest for the TSD/Transporter; this would require TSDs to agree to electronic record for all shipment </w:t>
      </w:r>
      <w:r w:rsidR="007108F2">
        <w:rPr>
          <w:rFonts w:ascii="Times New Roman" w:hAnsi="Times New Roman" w:cs="Times New Roman"/>
          <w:sz w:val="24"/>
          <w:szCs w:val="24"/>
        </w:rPr>
        <w:t>(some TSDs currently will only agree to electronic records only when 100% of their customers are electronic)</w:t>
      </w:r>
    </w:p>
    <w:p w:rsidR="00A17C3F" w:rsidRPr="00A17C3F" w:rsidRDefault="00A17C3F" w:rsidP="00A17C3F">
      <w:pPr>
        <w:rPr>
          <w:rFonts w:ascii="Times New Roman" w:hAnsi="Times New Roman" w:cs="Times New Roman"/>
          <w:b/>
          <w:i/>
          <w:sz w:val="24"/>
          <w:szCs w:val="24"/>
        </w:rPr>
      </w:pPr>
    </w:p>
    <w:sectPr w:rsidR="00A17C3F" w:rsidRPr="00A17C3F" w:rsidSect="008420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663" w:rsidRDefault="00E31663" w:rsidP="007108F2">
      <w:pPr>
        <w:spacing w:after="0" w:line="240" w:lineRule="auto"/>
      </w:pPr>
      <w:r>
        <w:separator/>
      </w:r>
    </w:p>
  </w:endnote>
  <w:endnote w:type="continuationSeparator" w:id="0">
    <w:p w:rsidR="00E31663" w:rsidRDefault="00E31663" w:rsidP="0071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85235"/>
      <w:docPartObj>
        <w:docPartGallery w:val="Page Numbers (Bottom of Page)"/>
        <w:docPartUnique/>
      </w:docPartObj>
    </w:sdtPr>
    <w:sdtEndPr/>
    <w:sdtContent>
      <w:p w:rsidR="007108F2" w:rsidRDefault="00ED01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108F2" w:rsidRDefault="00710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663" w:rsidRDefault="00E31663" w:rsidP="007108F2">
      <w:pPr>
        <w:spacing w:after="0" w:line="240" w:lineRule="auto"/>
      </w:pPr>
      <w:r>
        <w:separator/>
      </w:r>
    </w:p>
  </w:footnote>
  <w:footnote w:type="continuationSeparator" w:id="0">
    <w:p w:rsidR="00E31663" w:rsidRDefault="00E31663" w:rsidP="00710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2EC2"/>
    <w:multiLevelType w:val="hybridMultilevel"/>
    <w:tmpl w:val="FAAA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34E4C"/>
    <w:multiLevelType w:val="hybridMultilevel"/>
    <w:tmpl w:val="192C1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C3F"/>
    <w:rsid w:val="000C2E3F"/>
    <w:rsid w:val="0018213D"/>
    <w:rsid w:val="002B4899"/>
    <w:rsid w:val="003756FD"/>
    <w:rsid w:val="00463A69"/>
    <w:rsid w:val="00494C1B"/>
    <w:rsid w:val="007108F2"/>
    <w:rsid w:val="007E51D1"/>
    <w:rsid w:val="008420E2"/>
    <w:rsid w:val="008C405E"/>
    <w:rsid w:val="008D09A8"/>
    <w:rsid w:val="009244B7"/>
    <w:rsid w:val="00A17C3F"/>
    <w:rsid w:val="00B3667E"/>
    <w:rsid w:val="00E31663"/>
    <w:rsid w:val="00ED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93C0A-5CE3-4CE8-98A6-BE7D947F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C3F"/>
    <w:pPr>
      <w:ind w:left="720"/>
      <w:contextualSpacing/>
    </w:pPr>
  </w:style>
  <w:style w:type="character" w:styleId="Hyperlink">
    <w:name w:val="Hyperlink"/>
    <w:basedOn w:val="DefaultParagraphFont"/>
    <w:uiPriority w:val="99"/>
    <w:semiHidden/>
    <w:unhideWhenUsed/>
    <w:rsid w:val="003756FD"/>
    <w:rPr>
      <w:color w:val="0000FF"/>
      <w:u w:val="single"/>
    </w:rPr>
  </w:style>
  <w:style w:type="paragraph" w:styleId="Header">
    <w:name w:val="header"/>
    <w:basedOn w:val="Normal"/>
    <w:link w:val="HeaderChar"/>
    <w:uiPriority w:val="99"/>
    <w:semiHidden/>
    <w:unhideWhenUsed/>
    <w:rsid w:val="007108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8F2"/>
  </w:style>
  <w:style w:type="paragraph" w:styleId="Footer">
    <w:name w:val="footer"/>
    <w:basedOn w:val="Normal"/>
    <w:link w:val="FooterChar"/>
    <w:uiPriority w:val="99"/>
    <w:unhideWhenUsed/>
    <w:rsid w:val="00710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a.gov/sites/production/files/2019-06/documents/white_paper_advisoryboardjune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mlusk</cp:lastModifiedBy>
  <cp:revision>4</cp:revision>
  <dcterms:created xsi:type="dcterms:W3CDTF">2019-06-25T18:19:00Z</dcterms:created>
  <dcterms:modified xsi:type="dcterms:W3CDTF">2019-11-04T17:57:00Z</dcterms:modified>
</cp:coreProperties>
</file>